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77" w:rsidRDefault="00396477" w:rsidP="000D3DBC">
      <w:pPr>
        <w:jc w:val="center"/>
        <w:rPr>
          <w:b/>
          <w:bCs/>
          <w:i/>
          <w:iCs/>
          <w:lang w:val="es-ES"/>
        </w:rPr>
      </w:pPr>
      <w:bookmarkStart w:id="0" w:name="_GoBack"/>
      <w:bookmarkEnd w:id="0"/>
    </w:p>
    <w:p w:rsidR="000D3DBC" w:rsidRDefault="00055DBD" w:rsidP="000D3DBC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 xml:space="preserve">DISPONIBILIDAD </w:t>
      </w:r>
      <w:r w:rsidR="000D3DBC" w:rsidRPr="000D3DBC">
        <w:rPr>
          <w:b/>
          <w:bCs/>
          <w:i/>
          <w:iCs/>
          <w:lang w:val="es-ES"/>
        </w:rPr>
        <w:t>DE</w:t>
      </w:r>
      <w:r>
        <w:rPr>
          <w:b/>
          <w:bCs/>
          <w:i/>
          <w:iCs/>
          <w:lang w:val="es-ES"/>
        </w:rPr>
        <w:t xml:space="preserve"> INSUMOS, MEDICAMENTOS Y EQUIPOS</w:t>
      </w:r>
      <w:r w:rsidR="000D3DBC" w:rsidRPr="000D3DBC">
        <w:rPr>
          <w:b/>
          <w:bCs/>
          <w:i/>
          <w:iCs/>
          <w:lang w:val="es-ES"/>
        </w:rPr>
        <w:t xml:space="preserve"> PROGRAMA SALUD MATERNO NEONATAL</w:t>
      </w:r>
      <w:r w:rsidR="00396477">
        <w:rPr>
          <w:b/>
          <w:bCs/>
          <w:i/>
          <w:iCs/>
          <w:lang w:val="es-ES"/>
        </w:rPr>
        <w:t xml:space="preserve"> EN LA REGIÓN CAJAMARCA</w:t>
      </w:r>
      <w:r w:rsidR="000D3DBC">
        <w:rPr>
          <w:b/>
          <w:bCs/>
          <w:i/>
          <w:iCs/>
          <w:lang w:val="es-ES"/>
        </w:rPr>
        <w:t>.</w:t>
      </w:r>
    </w:p>
    <w:p w:rsidR="000D3DBC" w:rsidRDefault="000223C5" w:rsidP="000D3DBC">
      <w:pPr>
        <w:jc w:val="center"/>
        <w:rPr>
          <w:noProof/>
          <w:lang w:eastAsia="es-PE"/>
        </w:rPr>
      </w:pPr>
      <w:r w:rsidRPr="000223C5">
        <w:rPr>
          <w:noProof/>
          <w:lang w:eastAsia="es-PE"/>
        </w:rPr>
        <w:t xml:space="preserve"> </w:t>
      </w:r>
    </w:p>
    <w:p w:rsidR="000223C5" w:rsidRPr="000D3DBC" w:rsidRDefault="000223C5" w:rsidP="000D3DBC">
      <w:pPr>
        <w:jc w:val="center"/>
      </w:pPr>
      <w:r w:rsidRPr="000D3DBC"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14490B5D" wp14:editId="5145AD20">
            <wp:simplePos x="0" y="0"/>
            <wp:positionH relativeFrom="column">
              <wp:posOffset>-118110</wp:posOffset>
            </wp:positionH>
            <wp:positionV relativeFrom="paragraph">
              <wp:posOffset>438785</wp:posOffset>
            </wp:positionV>
            <wp:extent cx="2412365" cy="2416810"/>
            <wp:effectExtent l="0" t="0" r="6985" b="254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/>
                    <a:stretch/>
                  </pic:blipFill>
                  <pic:spPr bwMode="auto">
                    <a:xfrm>
                      <a:off x="0" y="0"/>
                      <a:ext cx="241236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3C5" w:rsidRDefault="000223C5" w:rsidP="000223C5">
      <w:pPr>
        <w:jc w:val="center"/>
        <w:rPr>
          <w:b/>
          <w:bCs/>
          <w:i/>
          <w:iCs/>
          <w:lang w:val="es-ES"/>
        </w:rPr>
      </w:pPr>
    </w:p>
    <w:p w:rsidR="000223C5" w:rsidRDefault="000223C5" w:rsidP="000223C5">
      <w:pPr>
        <w:jc w:val="center"/>
        <w:rPr>
          <w:b/>
          <w:bCs/>
          <w:i/>
          <w:iCs/>
          <w:lang w:val="es-ES"/>
        </w:rPr>
      </w:pPr>
    </w:p>
    <w:p w:rsidR="000223C5" w:rsidRDefault="000223C5" w:rsidP="000223C5">
      <w:pPr>
        <w:jc w:val="center"/>
        <w:rPr>
          <w:b/>
          <w:bCs/>
          <w:i/>
          <w:iCs/>
          <w:lang w:val="es-ES"/>
        </w:rPr>
      </w:pPr>
    </w:p>
    <w:p w:rsidR="000223C5" w:rsidRPr="000223C5" w:rsidRDefault="000223C5" w:rsidP="000223C5">
      <w:pPr>
        <w:pStyle w:val="NormalWeb"/>
        <w:spacing w:before="0" w:beforeAutospacing="0" w:after="0" w:afterAutospacing="0"/>
        <w:jc w:val="center"/>
        <w:rPr>
          <w:rFonts w:ascii="Calibri" w:eastAsia="Tahoma" w:hAnsi="Calibri" w:cs="Tahoma"/>
          <w:b/>
          <w:bCs/>
          <w:i/>
          <w:iCs/>
          <w:color w:val="17365D" w:themeColor="text2" w:themeShade="BF"/>
          <w:kern w:val="24"/>
          <w:sz w:val="36"/>
          <w:szCs w:val="36"/>
        </w:rPr>
      </w:pPr>
    </w:p>
    <w:p w:rsidR="000223C5" w:rsidRPr="000223C5" w:rsidRDefault="00055DBD" w:rsidP="000223C5">
      <w:pPr>
        <w:pStyle w:val="NormalWeb"/>
        <w:spacing w:before="0" w:beforeAutospacing="0" w:after="0" w:afterAutospacing="0"/>
        <w:jc w:val="center"/>
        <w:rPr>
          <w:rFonts w:ascii="Calibri" w:eastAsia="Tahoma" w:hAnsi="Calibri" w:cs="Tahoma"/>
          <w:b/>
          <w:bCs/>
          <w:i/>
          <w:iCs/>
          <w:color w:val="17365D" w:themeColor="text2" w:themeShade="BF"/>
          <w:kern w:val="24"/>
          <w:sz w:val="36"/>
          <w:szCs w:val="36"/>
        </w:rPr>
      </w:pPr>
      <w:r>
        <w:rPr>
          <w:rFonts w:ascii="Calibri" w:eastAsia="Tahoma" w:hAnsi="Calibri" w:cs="Tahoma"/>
          <w:b/>
          <w:bCs/>
          <w:i/>
          <w:iCs/>
          <w:color w:val="17365D" w:themeColor="text2" w:themeShade="BF"/>
          <w:kern w:val="24"/>
          <w:sz w:val="36"/>
          <w:szCs w:val="36"/>
        </w:rPr>
        <w:t xml:space="preserve">DISPONIBILIDAD DE EQUIPOS, INSUMOS Y MEDICAMENTOS </w:t>
      </w:r>
      <w:r w:rsidR="000223C5" w:rsidRPr="000223C5">
        <w:rPr>
          <w:rFonts w:ascii="Calibri" w:eastAsia="Tahoma" w:hAnsi="Calibri" w:cs="Tahoma"/>
          <w:b/>
          <w:bCs/>
          <w:i/>
          <w:iCs/>
          <w:color w:val="17365D" w:themeColor="text2" w:themeShade="BF"/>
          <w:kern w:val="24"/>
          <w:sz w:val="36"/>
          <w:szCs w:val="36"/>
        </w:rPr>
        <w:t xml:space="preserve"> PROGRAMA SALUD MATERNO NEONATAL </w:t>
      </w:r>
    </w:p>
    <w:p w:rsidR="0010452C" w:rsidRDefault="000223C5" w:rsidP="000223C5">
      <w:r w:rsidRPr="000223C5">
        <w:t xml:space="preserve"> </w:t>
      </w:r>
    </w:p>
    <w:p w:rsidR="000223C5" w:rsidRDefault="000223C5" w:rsidP="000223C5"/>
    <w:p w:rsidR="000223C5" w:rsidRDefault="000223C5" w:rsidP="000223C5"/>
    <w:p w:rsidR="00D759FE" w:rsidRDefault="00D759FE" w:rsidP="000223C5"/>
    <w:p w:rsidR="000223C5" w:rsidRDefault="00512D67" w:rsidP="000223C5">
      <w:r w:rsidRPr="000223C5"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150853CB" wp14:editId="7B83477E">
            <wp:simplePos x="0" y="0"/>
            <wp:positionH relativeFrom="column">
              <wp:posOffset>2983230</wp:posOffset>
            </wp:positionH>
            <wp:positionV relativeFrom="paragraph">
              <wp:posOffset>289560</wp:posOffset>
            </wp:positionV>
            <wp:extent cx="2376170" cy="2416810"/>
            <wp:effectExtent l="0" t="0" r="5080" b="2540"/>
            <wp:wrapSquare wrapText="bothSides"/>
            <wp:docPr id="8" name="7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3C5" w:rsidRDefault="000223C5" w:rsidP="000223C5"/>
    <w:p w:rsidR="000223C5" w:rsidRDefault="00512D67" w:rsidP="000223C5">
      <w:r w:rsidRPr="000223C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31C7" wp14:editId="408A655A">
                <wp:simplePos x="0" y="0"/>
                <wp:positionH relativeFrom="column">
                  <wp:posOffset>-575945</wp:posOffset>
                </wp:positionH>
                <wp:positionV relativeFrom="paragraph">
                  <wp:posOffset>25400</wp:posOffset>
                </wp:positionV>
                <wp:extent cx="3239770" cy="368935"/>
                <wp:effectExtent l="0" t="0" r="0" b="0"/>
                <wp:wrapNone/>
                <wp:docPr id="10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23C5" w:rsidRDefault="00372604" w:rsidP="000223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ahoma" w:hAnsi="Calibri" w:cs="Tahom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6"/>
                                <w:szCs w:val="36"/>
                              </w:rPr>
                              <w:t>DICIEMBRE</w:t>
                            </w:r>
                            <w:r w:rsidR="000223C5">
                              <w:rPr>
                                <w:rFonts w:ascii="Calibri" w:eastAsia="Tahoma" w:hAnsi="Calibri" w:cs="Tahom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6"/>
                                <w:szCs w:val="36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-45.35pt;margin-top:2pt;width:255.1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" filled="f" stroked="f">
                <v:textbox style="mso-fit-shape-to-text:t">
                  <w:txbxContent>
                    <w:p w:rsidR="000223C5" w:rsidRDefault="00372604" w:rsidP="000223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ahoma" w:hAnsi="Calibri" w:cs="Tahoma"/>
                          <w:b/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6"/>
                          <w:szCs w:val="36"/>
                        </w:rPr>
                        <w:t>DICIEMBRE</w:t>
                      </w:r>
                      <w:bookmarkStart w:id="1" w:name="_GoBack"/>
                      <w:bookmarkEnd w:id="1"/>
                      <w:r w:rsidR="000223C5">
                        <w:rPr>
                          <w:rFonts w:ascii="Calibri" w:eastAsia="Tahoma" w:hAnsi="Calibri" w:cs="Tahoma"/>
                          <w:b/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6"/>
                          <w:szCs w:val="36"/>
                        </w:rPr>
                        <w:t xml:space="preserve"> 2015</w:t>
                      </w:r>
                    </w:p>
                  </w:txbxContent>
                </v:textbox>
              </v:rect>
            </w:pict>
          </mc:Fallback>
        </mc:AlternateContent>
      </w:r>
    </w:p>
    <w:p w:rsidR="000223C5" w:rsidRDefault="000223C5" w:rsidP="000223C5"/>
    <w:p w:rsidR="000223C5" w:rsidRDefault="000223C5" w:rsidP="000223C5"/>
    <w:p w:rsidR="000223C5" w:rsidRDefault="000223C5" w:rsidP="000223C5"/>
    <w:p w:rsidR="000223C5" w:rsidRDefault="000223C5" w:rsidP="000223C5"/>
    <w:p w:rsidR="000223C5" w:rsidRDefault="000223C5" w:rsidP="000223C5"/>
    <w:p w:rsidR="000223C5" w:rsidRDefault="000223C5" w:rsidP="000223C5"/>
    <w:p w:rsidR="006A1BD8" w:rsidRDefault="006A1BD8" w:rsidP="000223C5"/>
    <w:p w:rsidR="006A1BD8" w:rsidRDefault="006A1BD8" w:rsidP="000223C5"/>
    <w:p w:rsidR="00D759FE" w:rsidRPr="00D759FE" w:rsidRDefault="00D759FE" w:rsidP="00D759FE">
      <w:pPr>
        <w:pStyle w:val="NormalWeb"/>
        <w:shd w:val="clear" w:color="auto" w:fill="FBD4B4" w:themeFill="accent6" w:themeFillTint="66"/>
        <w:spacing w:before="0" w:beforeAutospacing="0" w:after="0" w:afterAutospacing="0"/>
        <w:jc w:val="center"/>
      </w:pPr>
      <w:r w:rsidRPr="00D759FE">
        <w:rPr>
          <w:rFonts w:asciiTheme="minorHAnsi" w:hAnsi="Calibri" w:cstheme="minorBidi"/>
          <w:b/>
          <w:bCs/>
          <w:color w:val="000000" w:themeColor="dark1"/>
          <w:kern w:val="24"/>
          <w:lang w:val="es-MX"/>
        </w:rPr>
        <w:t xml:space="preserve">DISPONIBILIDAD INSUMOS, MEDICAMENTOS Y EQUIPOS PROGRAMA SALUD MATERNO NEONATAL, SEGÚN UNIDADES EJECUTORAS. REGIÓN CAJAMARCA. </w:t>
      </w:r>
      <w:r w:rsidR="00396477">
        <w:rPr>
          <w:rFonts w:asciiTheme="minorHAnsi" w:hAnsi="Calibri" w:cstheme="minorBidi"/>
          <w:b/>
          <w:bCs/>
          <w:color w:val="000000" w:themeColor="dark1"/>
          <w:kern w:val="24"/>
          <w:lang w:val="es-MX"/>
        </w:rPr>
        <w:t>DICIEMBRE</w:t>
      </w:r>
      <w:r w:rsidRPr="00D759FE">
        <w:rPr>
          <w:rFonts w:asciiTheme="minorHAnsi" w:hAnsi="Calibri" w:cstheme="minorBidi"/>
          <w:b/>
          <w:bCs/>
          <w:color w:val="000000" w:themeColor="dark1"/>
          <w:kern w:val="24"/>
          <w:lang w:val="es-MX"/>
        </w:rPr>
        <w:t xml:space="preserve"> 2015.</w:t>
      </w:r>
    </w:p>
    <w:p w:rsidR="00D759FE" w:rsidRDefault="00D759FE" w:rsidP="006D5605">
      <w:pPr>
        <w:shd w:val="clear" w:color="auto" w:fill="FBD4B4" w:themeFill="accent6" w:themeFillTint="66"/>
        <w:jc w:val="right"/>
        <w:rPr>
          <w:rFonts w:eastAsia="Times New Roman" w:hAnsi="Calibri"/>
          <w:b/>
          <w:bCs/>
          <w:color w:val="000000" w:themeColor="dark1"/>
          <w:kern w:val="24"/>
          <w:sz w:val="24"/>
          <w:szCs w:val="24"/>
          <w:lang w:val="es-MX" w:eastAsia="es-PE"/>
        </w:rPr>
      </w:pPr>
    </w:p>
    <w:p w:rsidR="00727020" w:rsidRDefault="00727020" w:rsidP="00727020">
      <w:pPr>
        <w:shd w:val="clear" w:color="auto" w:fill="DAEEF3" w:themeFill="accent5" w:themeFillTint="33"/>
        <w:jc w:val="both"/>
      </w:pPr>
      <w:r>
        <w:rPr>
          <w:rFonts w:ascii="Arial Narrow" w:hAnsi="Arial Narrow" w:cs="Arial"/>
          <w:lang w:val="es-MX"/>
        </w:rPr>
        <w:t xml:space="preserve">DEFINICIÓN OPERACIONAL: </w:t>
      </w:r>
      <w:r w:rsidRPr="00045061">
        <w:rPr>
          <w:rFonts w:ascii="Arial Narrow" w:hAnsi="Arial Narrow" w:cs="Arial"/>
          <w:lang w:val="es-MX"/>
        </w:rPr>
        <w:t xml:space="preserve">El </w:t>
      </w:r>
      <w:r w:rsidRPr="00045061">
        <w:rPr>
          <w:rFonts w:ascii="Arial Narrow" w:hAnsi="Arial Narrow" w:cs="Arial"/>
        </w:rPr>
        <w:t>70% de los Establecimientos del quintil 1 y 2 cuentan con disponibilidad adecuada de al menos el 75% de equipos y 75% de medicamentos e insumos críticos según estándares definidos por el MINSA, para la entrega de los productos de Atención Prenatal Reenfocada, Atención del Parto Normal, Atención del Recién Nacido y Planificación Familiar.</w:t>
      </w:r>
    </w:p>
    <w:p w:rsidR="006D5605" w:rsidRDefault="006D5605" w:rsidP="006D5605">
      <w:pPr>
        <w:jc w:val="both"/>
      </w:pPr>
      <w:r>
        <w:t xml:space="preserve">En la región Cajamarca, se ha priorizado a 431 establecimientos de salud en el ámbito del Convenio de Apoyo Presupuestario al Programa Salud Materno Neonatal, 397 EESS ubicados en los 68 distritos del quintil regional 1 y 2, dentro de los cuales se tiene  59 establecimientos categorizados para la atención de funciones obstétricas y neonatales (FON: FONB y FONE) y  en los que se monitorea la disponibilidad de insumos, medicamentos y equipos para la atención prenatal y atención de parto. </w:t>
      </w:r>
    </w:p>
    <w:p w:rsidR="006D5605" w:rsidRDefault="006D5605" w:rsidP="006D5605">
      <w:pPr>
        <w:jc w:val="both"/>
      </w:pPr>
      <w:r>
        <w:t xml:space="preserve">La disponibilidad de equipos </w:t>
      </w:r>
      <w:r w:rsidR="002F4258">
        <w:t xml:space="preserve">al mes de diciembre, </w:t>
      </w:r>
      <w:r>
        <w:t xml:space="preserve">según el estándar </w:t>
      </w:r>
      <w:r w:rsidR="00003DF4">
        <w:t>alcanzó un 95</w:t>
      </w:r>
      <w:r>
        <w:t>% de los establecimientos priorizados a nivel regional, tal como se puede observar en la tabla</w:t>
      </w:r>
      <w:r w:rsidR="00003DF4">
        <w:t xml:space="preserve"> </w:t>
      </w:r>
      <w:r w:rsidR="00740E23">
        <w:t xml:space="preserve">y gráfico </w:t>
      </w:r>
      <w:r w:rsidR="00003DF4">
        <w:t>N°1</w:t>
      </w:r>
      <w:r>
        <w:t xml:space="preserve"> a continuación. En relación a la disponibilidad de al menos el 75% de insumos y medicamentos se ha logrado un </w:t>
      </w:r>
      <w:r w:rsidR="00003DF4">
        <w:t>89%</w:t>
      </w:r>
      <w:r w:rsidR="002F4258">
        <w:t>, 12 puntos más en relación al mes de septiembre</w:t>
      </w:r>
      <w:r w:rsidR="00003DF4">
        <w:t xml:space="preserve"> </w:t>
      </w:r>
      <w:r w:rsidR="002F4258">
        <w:t>(</w:t>
      </w:r>
      <w:r>
        <w:t>77%</w:t>
      </w:r>
      <w:r w:rsidR="002F4258">
        <w:t>), siendo las unidad ejecutora</w:t>
      </w:r>
      <w:r>
        <w:t xml:space="preserve"> </w:t>
      </w:r>
      <w:r w:rsidR="002F4258">
        <w:t>785 Salud Cajamarca (62</w:t>
      </w:r>
      <w:r>
        <w:t>%)</w:t>
      </w:r>
      <w:r w:rsidR="002F4258">
        <w:t>, la que tiene</w:t>
      </w:r>
      <w:r>
        <w:t xml:space="preserve"> </w:t>
      </w:r>
      <w:r w:rsidR="002F4258">
        <w:t>el porcentaje más bajo</w:t>
      </w:r>
      <w:r>
        <w:t>; las unidades ejecutoras hospital regional de Cajamarca (100%), general de Jaén (100)</w:t>
      </w:r>
      <w:r w:rsidR="002F4258">
        <w:t>, hospital José Soto Cadenillas de Chota</w:t>
      </w:r>
      <w:r>
        <w:t xml:space="preserve"> y </w:t>
      </w:r>
      <w:r w:rsidR="002F4258">
        <w:t>la UE 786 Salud Chota (92%)</w:t>
      </w:r>
      <w:r>
        <w:t xml:space="preserve"> las que mantienen los más altos porcentajes. </w:t>
      </w:r>
    </w:p>
    <w:p w:rsidR="00003DF4" w:rsidRPr="00F409D9" w:rsidRDefault="00003DF4" w:rsidP="00003DF4">
      <w:pPr>
        <w:jc w:val="both"/>
        <w:rPr>
          <w:b/>
        </w:rPr>
      </w:pPr>
      <w:r w:rsidRPr="00F409D9">
        <w:rPr>
          <w:b/>
        </w:rPr>
        <w:t>Tabla</w:t>
      </w:r>
      <w:r>
        <w:rPr>
          <w:b/>
        </w:rPr>
        <w:t xml:space="preserve"> N°1:</w:t>
      </w:r>
      <w:r w:rsidRPr="00F409D9">
        <w:rPr>
          <w:b/>
        </w:rPr>
        <w:t xml:space="preserve"> Disponibilidad de insumos, medicamentos y equipos e</w:t>
      </w:r>
      <w:r>
        <w:rPr>
          <w:b/>
        </w:rPr>
        <w:t>n establecimientos priorizados Convenio de Apoyo Presupuestario al Programa Salud Materno N</w:t>
      </w:r>
      <w:r w:rsidRPr="00F409D9">
        <w:rPr>
          <w:b/>
        </w:rPr>
        <w:t>eonatal</w:t>
      </w:r>
      <w:r>
        <w:rPr>
          <w:b/>
        </w:rPr>
        <w:t>, según unidades ejecutoras. Región Cajamarca. Diciembre 2015.</w:t>
      </w:r>
    </w:p>
    <w:p w:rsidR="00003DF4" w:rsidRDefault="00003DF4" w:rsidP="00003DF4">
      <w:pPr>
        <w:jc w:val="both"/>
      </w:pPr>
      <w:r w:rsidRPr="00727020">
        <w:rPr>
          <w:noProof/>
          <w:lang w:eastAsia="es-PE"/>
        </w:rPr>
        <w:drawing>
          <wp:inline distT="0" distB="0" distL="0" distR="0" wp14:anchorId="602C73C7" wp14:editId="2462783B">
            <wp:extent cx="5612130" cy="1695222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F4" w:rsidRDefault="00003DF4" w:rsidP="00003DF4">
      <w:r>
        <w:t>Fuente: Base analítica SIGA y SISMED.</w:t>
      </w:r>
    </w:p>
    <w:p w:rsidR="006D5605" w:rsidRDefault="006D5605" w:rsidP="000223C5"/>
    <w:p w:rsidR="006D5605" w:rsidRDefault="006D5605" w:rsidP="000223C5"/>
    <w:p w:rsidR="006D5605" w:rsidRDefault="006D5605" w:rsidP="000223C5"/>
    <w:p w:rsidR="006A1BD8" w:rsidRDefault="002F4258" w:rsidP="000223C5">
      <w:r>
        <w:rPr>
          <w:noProof/>
          <w:lang w:eastAsia="es-PE"/>
        </w:rPr>
        <w:drawing>
          <wp:inline distT="0" distB="0" distL="0" distR="0" wp14:anchorId="29B3D893" wp14:editId="50A15348">
            <wp:extent cx="5615796" cy="3114136"/>
            <wp:effectExtent l="0" t="0" r="23495" b="1016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1BD8" w:rsidRPr="006A1BD8" w:rsidRDefault="006A1BD8" w:rsidP="00B43C57">
      <w:pPr>
        <w:jc w:val="both"/>
      </w:pPr>
      <w:r w:rsidRPr="006A1BD8">
        <w:rPr>
          <w:b/>
          <w:bCs/>
          <w:lang w:val="es-MX"/>
        </w:rPr>
        <w:t xml:space="preserve"> </w:t>
      </w:r>
      <w:r w:rsidR="00B43C57">
        <w:rPr>
          <w:b/>
          <w:bCs/>
          <w:lang w:val="es-MX"/>
        </w:rPr>
        <w:t xml:space="preserve">Fuente: Base SIGA Patrimonio y SISMED al mes de </w:t>
      </w:r>
      <w:r w:rsidR="00740E23">
        <w:rPr>
          <w:b/>
          <w:bCs/>
          <w:lang w:val="es-MX"/>
        </w:rPr>
        <w:t>diciem</w:t>
      </w:r>
      <w:r w:rsidR="00B43C57">
        <w:rPr>
          <w:b/>
          <w:bCs/>
          <w:lang w:val="es-MX"/>
        </w:rPr>
        <w:t>bre</w:t>
      </w:r>
    </w:p>
    <w:p w:rsidR="003B6AFD" w:rsidRPr="003B6AFD" w:rsidRDefault="003B6AFD" w:rsidP="003B6AFD">
      <w:pPr>
        <w:spacing w:after="0" w:line="240" w:lineRule="auto"/>
        <w:jc w:val="both"/>
        <w:rPr>
          <w:rFonts w:ascii="Calibri" w:eastAsia="Times New Roman" w:hAnsi="Calibri" w:cs="Times New Roman"/>
          <w:lang w:val="es-MX" w:eastAsia="es-MX"/>
        </w:rPr>
      </w:pPr>
      <w:r>
        <w:rPr>
          <w:rFonts w:ascii="Calibri" w:eastAsia="Times New Roman" w:hAnsi="Calibri" w:cs="Times New Roman"/>
          <w:lang w:val="es-MX" w:eastAsia="es-MX"/>
        </w:rPr>
        <w:t xml:space="preserve">En relación a la disponibilidad por tipo de equipo, </w:t>
      </w:r>
      <w:r w:rsidR="00BC584E">
        <w:rPr>
          <w:rFonts w:ascii="Calibri" w:eastAsia="Times New Roman" w:hAnsi="Calibri" w:cs="Times New Roman"/>
          <w:lang w:val="es-MX" w:eastAsia="es-MX"/>
        </w:rPr>
        <w:t xml:space="preserve">si bien se observa un ligero incremento en el número de EESS con disponibilidad en relación al informe del mes de septiembre, </w:t>
      </w:r>
      <w:r>
        <w:rPr>
          <w:rFonts w:ascii="Calibri" w:eastAsia="Times New Roman" w:hAnsi="Calibri" w:cs="Times New Roman"/>
          <w:lang w:val="es-MX" w:eastAsia="es-MX"/>
        </w:rPr>
        <w:t xml:space="preserve">es el ecógrafo </w:t>
      </w:r>
      <w:r w:rsidR="00E85438">
        <w:rPr>
          <w:rFonts w:ascii="Calibri" w:eastAsia="Times New Roman" w:hAnsi="Calibri" w:cs="Times New Roman"/>
          <w:lang w:val="es-MX" w:eastAsia="es-MX"/>
        </w:rPr>
        <w:t>el</w:t>
      </w:r>
      <w:r w:rsidR="00BC584E">
        <w:rPr>
          <w:rFonts w:ascii="Calibri" w:eastAsia="Times New Roman" w:hAnsi="Calibri" w:cs="Times New Roman"/>
          <w:lang w:val="es-MX" w:eastAsia="es-MX"/>
        </w:rPr>
        <w:t xml:space="preserve"> que mantiene</w:t>
      </w:r>
      <w:r>
        <w:rPr>
          <w:rFonts w:ascii="Calibri" w:eastAsia="Times New Roman" w:hAnsi="Calibri" w:cs="Times New Roman"/>
          <w:lang w:val="es-MX" w:eastAsia="es-MX"/>
        </w:rPr>
        <w:t xml:space="preserve"> el menor porcentaje</w:t>
      </w:r>
      <w:r w:rsidR="00E85438">
        <w:rPr>
          <w:rFonts w:ascii="Calibri" w:eastAsia="Times New Roman" w:hAnsi="Calibri" w:cs="Times New Roman"/>
          <w:lang w:val="es-MX" w:eastAsia="es-MX"/>
        </w:rPr>
        <w:t xml:space="preserve"> en los EESS </w:t>
      </w:r>
      <w:r w:rsidR="009E359F">
        <w:rPr>
          <w:rFonts w:ascii="Calibri" w:eastAsia="Times New Roman" w:hAnsi="Calibri" w:cs="Times New Roman"/>
          <w:lang w:val="es-MX" w:eastAsia="es-MX"/>
        </w:rPr>
        <w:t xml:space="preserve">FONB </w:t>
      </w:r>
      <w:r w:rsidR="00E85438">
        <w:rPr>
          <w:rFonts w:ascii="Calibri" w:eastAsia="Times New Roman" w:hAnsi="Calibri" w:cs="Times New Roman"/>
          <w:lang w:val="es-MX" w:eastAsia="es-MX"/>
        </w:rPr>
        <w:t>de categoría I-4 (59%</w:t>
      </w:r>
      <w:r>
        <w:rPr>
          <w:rFonts w:ascii="Calibri" w:eastAsia="Times New Roman" w:hAnsi="Calibri" w:cs="Times New Roman"/>
          <w:lang w:val="es-MX" w:eastAsia="es-MX"/>
        </w:rPr>
        <w:t xml:space="preserve">). </w:t>
      </w:r>
      <w:r w:rsidRPr="003B6AFD">
        <w:rPr>
          <w:rFonts w:ascii="Calibri" w:eastAsia="Times New Roman" w:hAnsi="Calibri" w:cs="Times New Roman"/>
          <w:lang w:val="es-MX" w:eastAsia="es-MX"/>
        </w:rPr>
        <w:t xml:space="preserve">Por otro lado, </w:t>
      </w:r>
      <w:r w:rsidR="00632341">
        <w:rPr>
          <w:rFonts w:ascii="Calibri" w:eastAsia="Times New Roman" w:hAnsi="Calibri" w:cs="Times New Roman"/>
          <w:lang w:val="es-MX" w:eastAsia="es-MX"/>
        </w:rPr>
        <w:t xml:space="preserve">es la tira reactiva para VIH la que tiene el porcentaje </w:t>
      </w:r>
      <w:r w:rsidR="00BD3CC0">
        <w:rPr>
          <w:rFonts w:ascii="Calibri" w:eastAsia="Times New Roman" w:hAnsi="Calibri" w:cs="Times New Roman"/>
          <w:lang w:val="es-MX" w:eastAsia="es-MX"/>
        </w:rPr>
        <w:t>más</w:t>
      </w:r>
      <w:r w:rsidR="00632341">
        <w:rPr>
          <w:rFonts w:ascii="Calibri" w:eastAsia="Times New Roman" w:hAnsi="Calibri" w:cs="Times New Roman"/>
          <w:lang w:val="es-MX" w:eastAsia="es-MX"/>
        </w:rPr>
        <w:t xml:space="preserve"> bajo de disponibilidad (</w:t>
      </w:r>
      <w:r w:rsidR="009E359F">
        <w:rPr>
          <w:rFonts w:ascii="Calibri" w:eastAsia="Times New Roman" w:hAnsi="Calibri" w:cs="Times New Roman"/>
          <w:lang w:val="es-MX" w:eastAsia="es-MX"/>
        </w:rPr>
        <w:t>56</w:t>
      </w:r>
      <w:r w:rsidR="00632341">
        <w:rPr>
          <w:rFonts w:ascii="Calibri" w:eastAsia="Times New Roman" w:hAnsi="Calibri" w:cs="Times New Roman"/>
          <w:lang w:val="es-MX" w:eastAsia="es-MX"/>
        </w:rPr>
        <w:t xml:space="preserve">%); seguido de la </w:t>
      </w:r>
      <w:proofErr w:type="spellStart"/>
      <w:r w:rsidR="00632341">
        <w:rPr>
          <w:rFonts w:ascii="Calibri" w:eastAsia="Times New Roman" w:hAnsi="Calibri" w:cs="Times New Roman"/>
          <w:lang w:val="es-MX" w:eastAsia="es-MX"/>
        </w:rPr>
        <w:t>microcubeta</w:t>
      </w:r>
      <w:proofErr w:type="spellEnd"/>
      <w:r w:rsidR="00632341">
        <w:rPr>
          <w:rFonts w:ascii="Calibri" w:eastAsia="Times New Roman" w:hAnsi="Calibri" w:cs="Times New Roman"/>
          <w:lang w:val="es-MX" w:eastAsia="es-MX"/>
        </w:rPr>
        <w:t xml:space="preserve"> para hemoglobina en el 80% de establecimientos y </w:t>
      </w:r>
      <w:r w:rsidR="00BD3CC0">
        <w:rPr>
          <w:rFonts w:ascii="Calibri" w:eastAsia="Times New Roman" w:hAnsi="Calibri" w:cs="Times New Roman"/>
          <w:lang w:val="es-MX" w:eastAsia="es-MX"/>
        </w:rPr>
        <w:t>la t</w:t>
      </w:r>
      <w:r w:rsidR="009E359F">
        <w:rPr>
          <w:rFonts w:ascii="Calibri" w:eastAsia="Times New Roman" w:hAnsi="Calibri" w:cs="Times New Roman"/>
          <w:lang w:val="es-MX" w:eastAsia="es-MX"/>
        </w:rPr>
        <w:t>ira reactiva para orina en el 84</w:t>
      </w:r>
      <w:r w:rsidR="00BD3CC0">
        <w:rPr>
          <w:rFonts w:ascii="Calibri" w:eastAsia="Times New Roman" w:hAnsi="Calibri" w:cs="Times New Roman"/>
          <w:lang w:val="es-MX" w:eastAsia="es-MX"/>
        </w:rPr>
        <w:t>%; muestran una situación crítica de abastecimiento</w:t>
      </w:r>
      <w:r w:rsidRPr="003B6AFD">
        <w:rPr>
          <w:rFonts w:ascii="Calibri" w:eastAsia="Times New Roman" w:hAnsi="Calibri" w:cs="Times New Roman"/>
          <w:lang w:val="es-MX" w:eastAsia="es-MX"/>
        </w:rPr>
        <w:t xml:space="preserve"> el insumo Kit para cirujano, </w:t>
      </w:r>
      <w:r w:rsidR="009E359F">
        <w:rPr>
          <w:rFonts w:ascii="Calibri" w:eastAsia="Times New Roman" w:hAnsi="Calibri" w:cs="Times New Roman"/>
          <w:lang w:val="es-MX" w:eastAsia="es-MX"/>
        </w:rPr>
        <w:t>(3</w:t>
      </w:r>
      <w:r w:rsidR="00BD3CC0">
        <w:rPr>
          <w:rFonts w:ascii="Calibri" w:eastAsia="Times New Roman" w:hAnsi="Calibri" w:cs="Times New Roman"/>
          <w:lang w:val="es-MX" w:eastAsia="es-MX"/>
        </w:rPr>
        <w:t xml:space="preserve"> EESS</w:t>
      </w:r>
      <w:r w:rsidRPr="003B6AFD">
        <w:rPr>
          <w:rFonts w:ascii="Calibri" w:eastAsia="Times New Roman" w:hAnsi="Calibri" w:cs="Times New Roman"/>
          <w:lang w:val="es-MX" w:eastAsia="es-MX"/>
        </w:rPr>
        <w:t>)</w:t>
      </w:r>
      <w:r w:rsidR="00BD3CC0">
        <w:rPr>
          <w:rFonts w:ascii="Calibri" w:eastAsia="Times New Roman" w:hAnsi="Calibri" w:cs="Times New Roman"/>
          <w:lang w:val="es-MX" w:eastAsia="es-MX"/>
        </w:rPr>
        <w:t xml:space="preserve">, así como el </w:t>
      </w:r>
      <w:r w:rsidRPr="003B6AFD">
        <w:rPr>
          <w:rFonts w:ascii="Calibri" w:eastAsia="Times New Roman" w:hAnsi="Calibri" w:cs="Times New Roman"/>
          <w:lang w:val="es-MX" w:eastAsia="es-MX"/>
        </w:rPr>
        <w:t>Oxigeno (03)</w:t>
      </w:r>
      <w:r w:rsidR="00CC3B6B">
        <w:rPr>
          <w:rFonts w:ascii="Calibri" w:eastAsia="Times New Roman" w:hAnsi="Calibri" w:cs="Times New Roman"/>
          <w:lang w:val="es-MX" w:eastAsia="es-MX"/>
        </w:rPr>
        <w:t xml:space="preserve">, sutura catgut crómico (03) y </w:t>
      </w:r>
      <w:proofErr w:type="spellStart"/>
      <w:r w:rsidR="00CC3B6B">
        <w:rPr>
          <w:rFonts w:ascii="Calibri" w:eastAsia="Times New Roman" w:hAnsi="Calibri" w:cs="Times New Roman"/>
          <w:lang w:val="es-MX" w:eastAsia="es-MX"/>
        </w:rPr>
        <w:t>partograma</w:t>
      </w:r>
      <w:proofErr w:type="spellEnd"/>
      <w:r w:rsidR="00CC3B6B">
        <w:rPr>
          <w:rFonts w:ascii="Calibri" w:eastAsia="Times New Roman" w:hAnsi="Calibri" w:cs="Times New Roman"/>
          <w:lang w:val="es-MX" w:eastAsia="es-MX"/>
        </w:rPr>
        <w:t xml:space="preserve"> (03)</w:t>
      </w:r>
      <w:r w:rsidRPr="003B6AFD">
        <w:rPr>
          <w:rFonts w:ascii="Calibri" w:eastAsia="Times New Roman" w:hAnsi="Calibri" w:cs="Times New Roman"/>
          <w:lang w:val="es-MX" w:eastAsia="es-MX"/>
        </w:rPr>
        <w:t>.</w:t>
      </w:r>
    </w:p>
    <w:p w:rsidR="003B6AFD" w:rsidRPr="003B6AFD" w:rsidRDefault="003B6AFD" w:rsidP="006A1BD8">
      <w:pPr>
        <w:rPr>
          <w:lang w:val="es-MX"/>
        </w:rPr>
      </w:pPr>
    </w:p>
    <w:p w:rsidR="006A1BD8" w:rsidRDefault="006A1BD8" w:rsidP="006A1BD8"/>
    <w:sectPr w:rsidR="006A1BD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7F" w:rsidRDefault="00C37A7F" w:rsidP="000D3DBC">
      <w:pPr>
        <w:spacing w:after="0" w:line="240" w:lineRule="auto"/>
      </w:pPr>
      <w:r>
        <w:separator/>
      </w:r>
    </w:p>
  </w:endnote>
  <w:endnote w:type="continuationSeparator" w:id="0">
    <w:p w:rsidR="00C37A7F" w:rsidRDefault="00C37A7F" w:rsidP="000D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7F" w:rsidRDefault="00C37A7F" w:rsidP="000D3DBC">
      <w:pPr>
        <w:spacing w:after="0" w:line="240" w:lineRule="auto"/>
      </w:pPr>
      <w:r>
        <w:separator/>
      </w:r>
    </w:p>
  </w:footnote>
  <w:footnote w:type="continuationSeparator" w:id="0">
    <w:p w:rsidR="00C37A7F" w:rsidRDefault="00C37A7F" w:rsidP="000D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77" w:rsidRDefault="00396477">
    <w:pPr>
      <w:pStyle w:val="Encabezado"/>
    </w:pPr>
    <w:r>
      <w:rPr>
        <w:noProof/>
        <w:lang w:eastAsia="es-PE"/>
      </w:rPr>
      <w:drawing>
        <wp:inline distT="0" distB="0" distL="0" distR="0" wp14:anchorId="2B0DF4A6" wp14:editId="516F4318">
          <wp:extent cx="5612130" cy="344805"/>
          <wp:effectExtent l="0" t="0" r="0" b="0"/>
          <wp:docPr id="1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BC"/>
    <w:rsid w:val="00003DF4"/>
    <w:rsid w:val="000174BC"/>
    <w:rsid w:val="000223C5"/>
    <w:rsid w:val="00055DBD"/>
    <w:rsid w:val="00087949"/>
    <w:rsid w:val="00096DC1"/>
    <w:rsid w:val="000B163F"/>
    <w:rsid w:val="000B3BB7"/>
    <w:rsid w:val="000D3DBC"/>
    <w:rsid w:val="000F0D5A"/>
    <w:rsid w:val="0010452C"/>
    <w:rsid w:val="002C7048"/>
    <w:rsid w:val="002E0766"/>
    <w:rsid w:val="002F4258"/>
    <w:rsid w:val="00335F47"/>
    <w:rsid w:val="00372604"/>
    <w:rsid w:val="00386B69"/>
    <w:rsid w:val="00396477"/>
    <w:rsid w:val="003A6610"/>
    <w:rsid w:val="003B40B6"/>
    <w:rsid w:val="003B6AFD"/>
    <w:rsid w:val="00412092"/>
    <w:rsid w:val="00485DA4"/>
    <w:rsid w:val="004D61D2"/>
    <w:rsid w:val="004E0B69"/>
    <w:rsid w:val="00501858"/>
    <w:rsid w:val="00512D67"/>
    <w:rsid w:val="005609C8"/>
    <w:rsid w:val="00561B66"/>
    <w:rsid w:val="005B6AC3"/>
    <w:rsid w:val="005D1B3C"/>
    <w:rsid w:val="00632341"/>
    <w:rsid w:val="00643CB6"/>
    <w:rsid w:val="00660C33"/>
    <w:rsid w:val="00676A00"/>
    <w:rsid w:val="00697EFD"/>
    <w:rsid w:val="006A060F"/>
    <w:rsid w:val="006A1BD8"/>
    <w:rsid w:val="006B5F88"/>
    <w:rsid w:val="006D5605"/>
    <w:rsid w:val="006D62BB"/>
    <w:rsid w:val="00727020"/>
    <w:rsid w:val="00736D39"/>
    <w:rsid w:val="00740E23"/>
    <w:rsid w:val="00773168"/>
    <w:rsid w:val="007B72A1"/>
    <w:rsid w:val="00814CB0"/>
    <w:rsid w:val="00877962"/>
    <w:rsid w:val="00896B73"/>
    <w:rsid w:val="00933572"/>
    <w:rsid w:val="00983122"/>
    <w:rsid w:val="009943E7"/>
    <w:rsid w:val="009C75E5"/>
    <w:rsid w:val="009E359F"/>
    <w:rsid w:val="009F3B2B"/>
    <w:rsid w:val="00A34BDF"/>
    <w:rsid w:val="00A4629C"/>
    <w:rsid w:val="00A7297F"/>
    <w:rsid w:val="00AD7664"/>
    <w:rsid w:val="00B43C57"/>
    <w:rsid w:val="00B95B6F"/>
    <w:rsid w:val="00BC584E"/>
    <w:rsid w:val="00BD3CC0"/>
    <w:rsid w:val="00BF2BC7"/>
    <w:rsid w:val="00C147AD"/>
    <w:rsid w:val="00C37A7F"/>
    <w:rsid w:val="00C8045D"/>
    <w:rsid w:val="00C915D8"/>
    <w:rsid w:val="00CC3B6B"/>
    <w:rsid w:val="00D6723F"/>
    <w:rsid w:val="00D7122A"/>
    <w:rsid w:val="00D72489"/>
    <w:rsid w:val="00D759FE"/>
    <w:rsid w:val="00DB1675"/>
    <w:rsid w:val="00E21A22"/>
    <w:rsid w:val="00E75A94"/>
    <w:rsid w:val="00E80DDE"/>
    <w:rsid w:val="00E85438"/>
    <w:rsid w:val="00ED45BF"/>
    <w:rsid w:val="00F409D9"/>
    <w:rsid w:val="00F4640F"/>
    <w:rsid w:val="00F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DBC"/>
  </w:style>
  <w:style w:type="paragraph" w:styleId="Piedepgina">
    <w:name w:val="footer"/>
    <w:basedOn w:val="Normal"/>
    <w:link w:val="PiedepginaCar"/>
    <w:uiPriority w:val="99"/>
    <w:unhideWhenUsed/>
    <w:rsid w:val="000D3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DBC"/>
  </w:style>
  <w:style w:type="paragraph" w:styleId="Textodeglobo">
    <w:name w:val="Balloon Text"/>
    <w:basedOn w:val="Normal"/>
    <w:link w:val="TextodegloboCar"/>
    <w:uiPriority w:val="99"/>
    <w:semiHidden/>
    <w:unhideWhenUsed/>
    <w:rsid w:val="000D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D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DBC"/>
  </w:style>
  <w:style w:type="paragraph" w:styleId="Piedepgina">
    <w:name w:val="footer"/>
    <w:basedOn w:val="Normal"/>
    <w:link w:val="PiedepginaCar"/>
    <w:uiPriority w:val="99"/>
    <w:unhideWhenUsed/>
    <w:rsid w:val="000D3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DBC"/>
  </w:style>
  <w:style w:type="paragraph" w:styleId="Textodeglobo">
    <w:name w:val="Balloon Text"/>
    <w:basedOn w:val="Normal"/>
    <w:link w:val="TextodegloboCar"/>
    <w:uiPriority w:val="99"/>
    <w:semiHidden/>
    <w:unhideWhenUsed/>
    <w:rsid w:val="000D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D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venioBELGA\nivel2\reportes\PATRIMONIO_SISMED_D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PE" sz="1050" b="1" i="0" u="none" strike="noStrike" baseline="0">
                <a:solidFill>
                  <a:srgbClr val="C00000"/>
                </a:solidFill>
                <a:effectLst/>
              </a:rPr>
              <a:t>GRÁFICO N°1: Número de EESS con disponibilidad de insumos, medicamentos y equipos en ámbito priorizado del Convenio de Apoyo Presupuestario al Programa Salud Materno Neonatal, según unidades ejecutoras. Región Cajamarca. Diciembre 2015.</a:t>
            </a:r>
            <a:endParaRPr lang="es-MX" sz="1050">
              <a:solidFill>
                <a:srgbClr val="C00000"/>
              </a:solidFill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EESS_CONV_BELGA</c:v>
                </c:pt>
              </c:strCache>
            </c:strRef>
          </c:tx>
          <c:invertIfNegative val="0"/>
          <c:cat>
            <c:strRef>
              <c:f>Hoja2!$A$2:$A$9</c:f>
              <c:strCache>
                <c:ptCount val="8"/>
                <c:pt idx="0">
                  <c:v>0785 SALUD CAJAMARCA</c:v>
                </c:pt>
                <c:pt idx="1">
                  <c:v>0786 SALUD CHOTA</c:v>
                </c:pt>
                <c:pt idx="2">
                  <c:v>0787 SALUD CUTERVO</c:v>
                </c:pt>
                <c:pt idx="3">
                  <c:v>0788 SALUD JAEN</c:v>
                </c:pt>
                <c:pt idx="4">
                  <c:v>0999 HOSPITAL CAJAMARCA</c:v>
                </c:pt>
                <c:pt idx="5">
                  <c:v>1047 HOSPITAL GRAL JAEN</c:v>
                </c:pt>
                <c:pt idx="6">
                  <c:v>1539 HOSPITAL J.H.S.C.CHOTA</c:v>
                </c:pt>
                <c:pt idx="7">
                  <c:v>445 GOB. REG. CAJAMARCA</c:v>
                </c:pt>
              </c:strCache>
            </c:strRef>
          </c:cat>
          <c:val>
            <c:numRef>
              <c:f>Hoja2!$B$2:$B$9</c:f>
            </c:numRef>
          </c:val>
        </c:ser>
        <c:ser>
          <c:idx val="1"/>
          <c:order val="1"/>
          <c:tx>
            <c:strRef>
              <c:f>Hoja2!$C$1</c:f>
              <c:strCache>
                <c:ptCount val="1"/>
                <c:pt idx="0">
                  <c:v>CUMPL_SISMED_PATRI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568868954641515E-2"/>
                  <c:y val="4.673721778494574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568868954641515E-2"/>
                  <c:y val="2.336860889247330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Hoja2!$A$2:$A$9</c:f>
              <c:strCache>
                <c:ptCount val="8"/>
                <c:pt idx="0">
                  <c:v>0785 SALUD CAJAMARCA</c:v>
                </c:pt>
                <c:pt idx="1">
                  <c:v>0786 SALUD CHOTA</c:v>
                </c:pt>
                <c:pt idx="2">
                  <c:v>0787 SALUD CUTERVO</c:v>
                </c:pt>
                <c:pt idx="3">
                  <c:v>0788 SALUD JAEN</c:v>
                </c:pt>
                <c:pt idx="4">
                  <c:v>0999 HOSPITAL CAJAMARCA</c:v>
                </c:pt>
                <c:pt idx="5">
                  <c:v>1047 HOSPITAL GRAL JAEN</c:v>
                </c:pt>
                <c:pt idx="6">
                  <c:v>1539 HOSPITAL J.H.S.C.CHOTA</c:v>
                </c:pt>
                <c:pt idx="7">
                  <c:v>445 GOB. REG. CAJAMARCA</c:v>
                </c:pt>
              </c:strCache>
            </c:strRef>
          </c:cat>
          <c:val>
            <c:numRef>
              <c:f>Hoja2!$C$2:$C$9</c:f>
              <c:numCache>
                <c:formatCode>#,##0</c:formatCode>
                <c:ptCount val="8"/>
                <c:pt idx="0">
                  <c:v>106</c:v>
                </c:pt>
                <c:pt idx="1">
                  <c:v>131</c:v>
                </c:pt>
                <c:pt idx="2">
                  <c:v>93</c:v>
                </c:pt>
                <c:pt idx="3">
                  <c:v>39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372</c:v>
                </c:pt>
              </c:numCache>
            </c:numRef>
          </c:val>
        </c:ser>
        <c:ser>
          <c:idx val="2"/>
          <c:order val="2"/>
          <c:tx>
            <c:strRef>
              <c:f>Hoja2!$D$1</c:f>
              <c:strCache>
                <c:ptCount val="1"/>
                <c:pt idx="0">
                  <c:v>CUMPL_SISMED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459126364276759E-3"/>
                  <c:y val="-1.402116533548398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Hoja2!$A$2:$A$9</c:f>
              <c:strCache>
                <c:ptCount val="8"/>
                <c:pt idx="0">
                  <c:v>0785 SALUD CAJAMARCA</c:v>
                </c:pt>
                <c:pt idx="1">
                  <c:v>0786 SALUD CHOTA</c:v>
                </c:pt>
                <c:pt idx="2">
                  <c:v>0787 SALUD CUTERVO</c:v>
                </c:pt>
                <c:pt idx="3">
                  <c:v>0788 SALUD JAEN</c:v>
                </c:pt>
                <c:pt idx="4">
                  <c:v>0999 HOSPITAL CAJAMARCA</c:v>
                </c:pt>
                <c:pt idx="5">
                  <c:v>1047 HOSPITAL GRAL JAEN</c:v>
                </c:pt>
                <c:pt idx="6">
                  <c:v>1539 HOSPITAL J.H.S.C.CHOTA</c:v>
                </c:pt>
                <c:pt idx="7">
                  <c:v>445 GOB. REG. CAJAMARCA</c:v>
                </c:pt>
              </c:strCache>
            </c:strRef>
          </c:cat>
          <c:val>
            <c:numRef>
              <c:f>Hoja2!$D$2:$D$9</c:f>
              <c:numCache>
                <c:formatCode>#,##0</c:formatCode>
                <c:ptCount val="8"/>
                <c:pt idx="0">
                  <c:v>117</c:v>
                </c:pt>
                <c:pt idx="1">
                  <c:v>132</c:v>
                </c:pt>
                <c:pt idx="2">
                  <c:v>93</c:v>
                </c:pt>
                <c:pt idx="3">
                  <c:v>39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384</c:v>
                </c:pt>
              </c:numCache>
            </c:numRef>
          </c:val>
        </c:ser>
        <c:ser>
          <c:idx val="3"/>
          <c:order val="3"/>
          <c:tx>
            <c:strRef>
              <c:f>Hoja2!$E$1</c:f>
              <c:strCache>
                <c:ptCount val="1"/>
                <c:pt idx="0">
                  <c:v>CUMPL_PATRI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459126364276759E-3"/>
                  <c:y val="1.2234533109665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5330343196223E-2"/>
                  <c:y val="-2.3368608892474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0459126364276759E-3"/>
                  <c:y val="-7.47657275256667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459126364276759E-3"/>
                  <c:y val="-7.47657275256667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7139162462454122E-2"/>
                  <c:y val="7.47657275256667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Hoja2!$A$2:$A$9</c:f>
              <c:strCache>
                <c:ptCount val="8"/>
                <c:pt idx="0">
                  <c:v>0785 SALUD CAJAMARCA</c:v>
                </c:pt>
                <c:pt idx="1">
                  <c:v>0786 SALUD CHOTA</c:v>
                </c:pt>
                <c:pt idx="2">
                  <c:v>0787 SALUD CUTERVO</c:v>
                </c:pt>
                <c:pt idx="3">
                  <c:v>0788 SALUD JAEN</c:v>
                </c:pt>
                <c:pt idx="4">
                  <c:v>0999 HOSPITAL CAJAMARCA</c:v>
                </c:pt>
                <c:pt idx="5">
                  <c:v>1047 HOSPITAL GRAL JAEN</c:v>
                </c:pt>
                <c:pt idx="6">
                  <c:v>1539 HOSPITAL J.H.S.C.CHOTA</c:v>
                </c:pt>
                <c:pt idx="7">
                  <c:v>445 GOB. REG. CAJAMARCA</c:v>
                </c:pt>
              </c:strCache>
            </c:strRef>
          </c:cat>
          <c:val>
            <c:numRef>
              <c:f>Hoja2!$E$2:$E$9</c:f>
              <c:numCache>
                <c:formatCode>#,##0</c:formatCode>
                <c:ptCount val="8"/>
                <c:pt idx="0">
                  <c:v>132</c:v>
                </c:pt>
                <c:pt idx="1">
                  <c:v>138</c:v>
                </c:pt>
                <c:pt idx="2">
                  <c:v>95</c:v>
                </c:pt>
                <c:pt idx="3">
                  <c:v>43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411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088960"/>
        <c:axId val="194090496"/>
        <c:axId val="0"/>
      </c:bar3DChart>
      <c:catAx>
        <c:axId val="1940889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 baseline="0">
                <a:latin typeface="Calibri" panose="020F0502020204030204" pitchFamily="34" charset="0"/>
              </a:defRPr>
            </a:pPr>
            <a:endParaRPr lang="es-PE"/>
          </a:p>
        </c:txPr>
        <c:crossAx val="194090496"/>
        <c:crosses val="autoZero"/>
        <c:auto val="1"/>
        <c:lblAlgn val="ctr"/>
        <c:lblOffset val="100"/>
        <c:noMultiLvlLbl val="0"/>
      </c:catAx>
      <c:valAx>
        <c:axId val="19409049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940889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Jeidy</dc:creator>
  <cp:lastModifiedBy>Silvana Portal Chicoma</cp:lastModifiedBy>
  <cp:revision>2</cp:revision>
  <dcterms:created xsi:type="dcterms:W3CDTF">2016-03-07T14:27:00Z</dcterms:created>
  <dcterms:modified xsi:type="dcterms:W3CDTF">2016-03-07T14:27:00Z</dcterms:modified>
</cp:coreProperties>
</file>