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36" w:rsidRPr="005C21F7" w:rsidRDefault="00430636" w:rsidP="00430636">
      <w:pPr>
        <w:tabs>
          <w:tab w:val="left" w:pos="490"/>
        </w:tabs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5C21F7">
        <w:rPr>
          <w:rFonts w:ascii="Arial" w:hAnsi="Arial" w:cs="Arial"/>
          <w:b/>
          <w:sz w:val="28"/>
          <w:szCs w:val="28"/>
          <w:u w:val="single"/>
          <w:lang w:val="es-ES_tradnl"/>
        </w:rPr>
        <w:t>DIRECTIVA N</w:t>
      </w:r>
      <w:r w:rsidR="005C21F7" w:rsidRPr="005C21F7">
        <w:rPr>
          <w:rFonts w:ascii="Arial" w:hAnsi="Arial" w:cs="Arial"/>
          <w:b/>
          <w:sz w:val="28"/>
          <w:szCs w:val="28"/>
          <w:u w:val="single"/>
          <w:lang w:val="es-ES_tradnl"/>
        </w:rPr>
        <w:t>º</w:t>
      </w:r>
      <w:r w:rsidRPr="005C21F7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</w:t>
      </w:r>
      <w:r w:rsidR="00536587">
        <w:rPr>
          <w:rFonts w:ascii="Arial" w:hAnsi="Arial" w:cs="Arial"/>
          <w:b/>
          <w:sz w:val="28"/>
          <w:szCs w:val="28"/>
          <w:u w:val="single"/>
          <w:lang w:val="es-ES_tradnl"/>
        </w:rPr>
        <w:t>10</w:t>
      </w:r>
      <w:r w:rsidRPr="005C21F7">
        <w:rPr>
          <w:rFonts w:ascii="Arial" w:hAnsi="Arial" w:cs="Arial"/>
          <w:b/>
          <w:sz w:val="28"/>
          <w:szCs w:val="28"/>
          <w:u w:val="single"/>
          <w:lang w:val="es-ES_tradnl"/>
        </w:rPr>
        <w:t>-2009-GR.CAJ</w:t>
      </w:r>
      <w:r w:rsidR="005C21F7">
        <w:rPr>
          <w:rFonts w:ascii="Arial" w:hAnsi="Arial" w:cs="Arial"/>
          <w:b/>
          <w:sz w:val="28"/>
          <w:szCs w:val="28"/>
          <w:u w:val="single"/>
          <w:lang w:val="es-ES_tradnl"/>
        </w:rPr>
        <w:t>-GGR/</w:t>
      </w:r>
      <w:r w:rsidRPr="005C21F7">
        <w:rPr>
          <w:rFonts w:ascii="Arial" w:hAnsi="Arial" w:cs="Arial"/>
          <w:b/>
          <w:sz w:val="28"/>
          <w:szCs w:val="28"/>
          <w:u w:val="single"/>
          <w:lang w:val="es-ES_tradnl"/>
        </w:rPr>
        <w:t>DRA</w:t>
      </w:r>
    </w:p>
    <w:p w:rsidR="00430636" w:rsidRPr="005C21F7" w:rsidRDefault="00430636" w:rsidP="00430636">
      <w:pPr>
        <w:rPr>
          <w:rFonts w:ascii="Arial" w:hAnsi="Arial" w:cs="Arial"/>
          <w:sz w:val="28"/>
          <w:szCs w:val="28"/>
          <w:lang w:val="es-ES_tradnl"/>
        </w:rPr>
      </w:pPr>
    </w:p>
    <w:p w:rsidR="00430636" w:rsidRDefault="005C21F7" w:rsidP="005B6E00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 xml:space="preserve">NORMAS COMPLEMENTARIAS </w:t>
      </w:r>
      <w:r w:rsidR="007166F0" w:rsidRPr="005C21F7">
        <w:rPr>
          <w:rFonts w:ascii="Arial" w:hAnsi="Arial" w:cs="Arial"/>
          <w:b/>
          <w:sz w:val="26"/>
          <w:szCs w:val="26"/>
          <w:lang w:val="es-ES_tradnl"/>
        </w:rPr>
        <w:t xml:space="preserve">SOBRE </w:t>
      </w:r>
      <w:r w:rsidR="00430636" w:rsidRPr="005C21F7">
        <w:rPr>
          <w:rFonts w:ascii="Arial" w:hAnsi="Arial" w:cs="Arial"/>
          <w:b/>
          <w:sz w:val="26"/>
          <w:szCs w:val="26"/>
          <w:lang w:val="es-ES_tradnl"/>
        </w:rPr>
        <w:t>TRANSFERENCIAS DE FONDOS PUBLICOS AL CAFAE</w:t>
      </w:r>
      <w:r w:rsidR="005B6E00">
        <w:rPr>
          <w:rFonts w:ascii="Arial" w:hAnsi="Arial" w:cs="Arial"/>
          <w:b/>
          <w:sz w:val="26"/>
          <w:szCs w:val="26"/>
          <w:lang w:val="es-ES_tradnl"/>
        </w:rPr>
        <w:t xml:space="preserve"> EN LAS UNIDADES EJECUTORAS DEL PLIEGO GOBIERNO REGIONAL CAJAMARCA</w:t>
      </w:r>
    </w:p>
    <w:p w:rsidR="00A31E4E" w:rsidRPr="00AA578B" w:rsidRDefault="00A31E4E" w:rsidP="005B6E00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AA578B">
        <w:rPr>
          <w:rFonts w:ascii="Arial" w:hAnsi="Arial" w:cs="Arial"/>
          <w:b/>
          <w:sz w:val="20"/>
          <w:szCs w:val="20"/>
          <w:lang w:val="es-ES_tradnl"/>
        </w:rPr>
        <w:t>Aprobada por R.E.R Nº 492-2009-GR.CAJ 20.10.09</w:t>
      </w:r>
    </w:p>
    <w:p w:rsidR="00F840DE" w:rsidRPr="00245175" w:rsidRDefault="00F840DE" w:rsidP="00430636">
      <w:pPr>
        <w:pStyle w:val="Encabezado"/>
        <w:ind w:right="360"/>
        <w:rPr>
          <w:rFonts w:ascii="Arial" w:hAnsi="Arial" w:cs="Arial"/>
          <w:sz w:val="22"/>
          <w:szCs w:val="22"/>
          <w:lang w:val="es-ES_tradnl"/>
        </w:rPr>
      </w:pPr>
    </w:p>
    <w:p w:rsidR="00716E60" w:rsidRPr="00245175" w:rsidRDefault="00612C7B" w:rsidP="00C235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4517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16E60" w:rsidRPr="00245175">
        <w:rPr>
          <w:rFonts w:ascii="Arial" w:hAnsi="Arial" w:cs="Arial"/>
          <w:b/>
          <w:sz w:val="22"/>
          <w:szCs w:val="22"/>
          <w:lang w:val="es-ES_tradnl"/>
        </w:rPr>
        <w:t>I.</w:t>
      </w:r>
      <w:r w:rsidR="00716E60" w:rsidRPr="00245175">
        <w:rPr>
          <w:rFonts w:ascii="Arial" w:hAnsi="Arial" w:cs="Arial"/>
          <w:b/>
          <w:sz w:val="22"/>
          <w:szCs w:val="22"/>
          <w:lang w:val="es-ES_tradnl"/>
        </w:rPr>
        <w:tab/>
      </w:r>
      <w:r w:rsidR="00FE3783" w:rsidRPr="00245175">
        <w:rPr>
          <w:rFonts w:ascii="Arial" w:hAnsi="Arial" w:cs="Arial"/>
          <w:b/>
          <w:sz w:val="22"/>
          <w:szCs w:val="22"/>
          <w:lang w:val="es-ES_tradnl"/>
        </w:rPr>
        <w:t>FINALIDAD</w:t>
      </w:r>
    </w:p>
    <w:p w:rsidR="00543406" w:rsidRPr="00245175" w:rsidRDefault="00543406" w:rsidP="00C235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FE3783" w:rsidRPr="00245175" w:rsidRDefault="00FE3783" w:rsidP="006C720B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5175">
        <w:rPr>
          <w:rFonts w:ascii="Arial" w:hAnsi="Arial" w:cs="Arial"/>
          <w:bCs/>
          <w:color w:val="000000"/>
          <w:sz w:val="22"/>
          <w:szCs w:val="22"/>
        </w:rPr>
        <w:t xml:space="preserve">Normar los procedimientos </w:t>
      </w:r>
      <w:r w:rsidR="006C720B" w:rsidRPr="00245175">
        <w:rPr>
          <w:rFonts w:ascii="Arial" w:hAnsi="Arial" w:cs="Arial"/>
          <w:sz w:val="22"/>
          <w:szCs w:val="22"/>
          <w:lang w:val="es-ES_tradnl"/>
        </w:rPr>
        <w:t xml:space="preserve">respecto a la Transferencia de Fondos Públicos a los Comités de Administración del Fondo de Asistencia y Estímulo - CAFAE, </w:t>
      </w:r>
      <w:r w:rsidR="00DD146B" w:rsidRPr="00245175">
        <w:rPr>
          <w:rFonts w:ascii="Arial" w:hAnsi="Arial" w:cs="Arial"/>
          <w:sz w:val="22"/>
          <w:szCs w:val="22"/>
          <w:lang w:val="es-ES_tradnl"/>
        </w:rPr>
        <w:t xml:space="preserve">en el </w:t>
      </w:r>
      <w:r w:rsidR="006C720B" w:rsidRPr="00245175">
        <w:rPr>
          <w:rFonts w:ascii="Arial" w:hAnsi="Arial" w:cs="Arial"/>
          <w:sz w:val="22"/>
          <w:szCs w:val="22"/>
          <w:lang w:val="es-ES_tradnl"/>
        </w:rPr>
        <w:t>Gobierno Regional Cajamarca</w:t>
      </w:r>
      <w:r w:rsidR="008D510A" w:rsidRPr="00245175">
        <w:rPr>
          <w:rFonts w:ascii="Arial" w:hAnsi="Arial" w:cs="Arial"/>
          <w:sz w:val="22"/>
          <w:szCs w:val="22"/>
          <w:lang w:val="es-ES_tradnl"/>
        </w:rPr>
        <w:t>.</w:t>
      </w:r>
      <w:r w:rsidRPr="0024517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00227E" w:rsidRPr="00245175" w:rsidRDefault="0000227E" w:rsidP="00C2353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16E60" w:rsidRPr="00245175" w:rsidRDefault="00716E60" w:rsidP="00C235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45175">
        <w:rPr>
          <w:rFonts w:ascii="Arial" w:hAnsi="Arial" w:cs="Arial"/>
          <w:b/>
          <w:sz w:val="22"/>
          <w:szCs w:val="22"/>
          <w:lang w:val="es-ES_tradnl"/>
        </w:rPr>
        <w:t>II.</w:t>
      </w:r>
      <w:r w:rsidRPr="00245175">
        <w:rPr>
          <w:rFonts w:ascii="Arial" w:hAnsi="Arial" w:cs="Arial"/>
          <w:b/>
          <w:sz w:val="22"/>
          <w:szCs w:val="22"/>
          <w:lang w:val="es-ES_tradnl"/>
        </w:rPr>
        <w:tab/>
        <w:t xml:space="preserve"> </w:t>
      </w:r>
      <w:r w:rsidR="00FE3783" w:rsidRPr="00245175">
        <w:rPr>
          <w:rFonts w:ascii="Arial" w:hAnsi="Arial" w:cs="Arial"/>
          <w:b/>
          <w:sz w:val="22"/>
          <w:szCs w:val="22"/>
          <w:lang w:val="es-ES_tradnl"/>
        </w:rPr>
        <w:t>OBJETIVO</w:t>
      </w:r>
    </w:p>
    <w:p w:rsidR="00702C20" w:rsidRPr="00245175" w:rsidRDefault="00702C20" w:rsidP="00C2353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16E60" w:rsidRPr="00245175" w:rsidRDefault="008D510A" w:rsidP="00B27294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bCs/>
          <w:sz w:val="22"/>
          <w:szCs w:val="22"/>
        </w:rPr>
        <w:t xml:space="preserve">Contar con </w:t>
      </w:r>
      <w:r w:rsidR="00F840DE" w:rsidRPr="00245175">
        <w:rPr>
          <w:rFonts w:ascii="Arial" w:hAnsi="Arial" w:cs="Arial"/>
          <w:bCs/>
          <w:sz w:val="22"/>
          <w:szCs w:val="22"/>
        </w:rPr>
        <w:t xml:space="preserve">normas complementarias, </w:t>
      </w:r>
      <w:r w:rsidRPr="00245175">
        <w:rPr>
          <w:rFonts w:ascii="Arial" w:hAnsi="Arial" w:cs="Arial"/>
          <w:bCs/>
          <w:sz w:val="22"/>
          <w:szCs w:val="22"/>
        </w:rPr>
        <w:t xml:space="preserve">lineamientos, procedimientos y mecanismos que orienten </w:t>
      </w:r>
      <w:r w:rsidRPr="00245175">
        <w:rPr>
          <w:rFonts w:ascii="Arial" w:hAnsi="Arial" w:cs="Arial"/>
          <w:sz w:val="22"/>
          <w:szCs w:val="22"/>
          <w:lang w:val="es-ES_tradnl"/>
        </w:rPr>
        <w:t>la transferencia de Fondos Públicos al CAFAE,</w:t>
      </w:r>
      <w:r w:rsidR="00DD146B" w:rsidRPr="00245175">
        <w:rPr>
          <w:rFonts w:ascii="Arial" w:hAnsi="Arial" w:cs="Arial"/>
          <w:sz w:val="22"/>
          <w:szCs w:val="22"/>
          <w:lang w:val="es-ES_tradnl"/>
        </w:rPr>
        <w:t xml:space="preserve"> e</w:t>
      </w:r>
      <w:r w:rsidR="00FE41F0" w:rsidRPr="00245175">
        <w:rPr>
          <w:rFonts w:ascii="Arial" w:hAnsi="Arial" w:cs="Arial"/>
          <w:sz w:val="22"/>
          <w:szCs w:val="22"/>
          <w:lang w:val="es-ES_tradnl"/>
        </w:rPr>
        <w:t>n</w:t>
      </w:r>
      <w:r w:rsidR="00DD146B" w:rsidRPr="00245175">
        <w:rPr>
          <w:rFonts w:ascii="Arial" w:hAnsi="Arial" w:cs="Arial"/>
          <w:sz w:val="22"/>
          <w:szCs w:val="22"/>
          <w:lang w:val="es-ES_tradnl"/>
        </w:rPr>
        <w:t xml:space="preserve"> las entidades y dependencias del Gobierno Regional Cajamarca,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que conlleven al cumplimiento de la asi</w:t>
      </w:r>
      <w:r w:rsidR="00F840DE" w:rsidRPr="00245175">
        <w:rPr>
          <w:rFonts w:ascii="Arial" w:hAnsi="Arial" w:cs="Arial"/>
          <w:sz w:val="22"/>
          <w:szCs w:val="22"/>
          <w:lang w:val="es-ES_tradnl"/>
        </w:rPr>
        <w:t>gnación de Incentivos Laborales a través de esta modalidad.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227E" w:rsidRPr="00245175" w:rsidRDefault="0000227E" w:rsidP="00B27294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16E60" w:rsidRPr="00245175" w:rsidRDefault="00716E60" w:rsidP="00C235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45175">
        <w:rPr>
          <w:rFonts w:ascii="Arial" w:hAnsi="Arial" w:cs="Arial"/>
          <w:b/>
          <w:sz w:val="22"/>
          <w:szCs w:val="22"/>
          <w:lang w:val="es-ES_tradnl"/>
        </w:rPr>
        <w:t>III.</w:t>
      </w:r>
      <w:r w:rsidRPr="00245175">
        <w:rPr>
          <w:rFonts w:ascii="Arial" w:hAnsi="Arial" w:cs="Arial"/>
          <w:b/>
          <w:sz w:val="22"/>
          <w:szCs w:val="22"/>
          <w:lang w:val="es-ES_tradnl"/>
        </w:rPr>
        <w:tab/>
      </w:r>
      <w:r w:rsidR="001A1FF2" w:rsidRPr="00245175">
        <w:rPr>
          <w:rFonts w:ascii="Arial" w:hAnsi="Arial" w:cs="Arial"/>
          <w:b/>
          <w:sz w:val="22"/>
          <w:szCs w:val="22"/>
          <w:lang w:val="es-ES_tradnl"/>
        </w:rPr>
        <w:t xml:space="preserve">ALCANCE </w:t>
      </w:r>
    </w:p>
    <w:p w:rsidR="00416C0A" w:rsidRPr="00245175" w:rsidRDefault="00416C0A" w:rsidP="00C235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A1FF2" w:rsidRPr="00245175" w:rsidRDefault="001A1FF2" w:rsidP="001A1FF2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 xml:space="preserve">La presente 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directiva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, es de 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alcance y observancia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por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 xml:space="preserve"> parte de l</w:t>
      </w:r>
      <w:r w:rsidR="00F840DE" w:rsidRPr="00245175">
        <w:rPr>
          <w:rFonts w:ascii="Arial" w:hAnsi="Arial" w:cs="Arial"/>
          <w:sz w:val="22"/>
          <w:szCs w:val="22"/>
          <w:lang w:val="es-ES_tradnl"/>
        </w:rPr>
        <w:t xml:space="preserve">os responsables de las 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Unidades Ejecutoras que conforma</w:t>
      </w:r>
      <w:r w:rsidR="00F840DE" w:rsidRPr="00245175">
        <w:rPr>
          <w:rFonts w:ascii="Arial" w:hAnsi="Arial" w:cs="Arial"/>
          <w:sz w:val="22"/>
          <w:szCs w:val="22"/>
          <w:lang w:val="es-ES_tradnl"/>
        </w:rPr>
        <w:t>n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 xml:space="preserve"> el Pliego 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Gobierno Regional de Cajamarca.</w:t>
      </w:r>
    </w:p>
    <w:p w:rsidR="0000227E" w:rsidRPr="00245175" w:rsidRDefault="0000227E" w:rsidP="00C2353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16E60" w:rsidRPr="00245175" w:rsidRDefault="00716E60" w:rsidP="00C235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45175">
        <w:rPr>
          <w:rFonts w:ascii="Arial" w:hAnsi="Arial" w:cs="Arial"/>
          <w:b/>
          <w:sz w:val="22"/>
          <w:szCs w:val="22"/>
          <w:lang w:val="es-ES_tradnl"/>
        </w:rPr>
        <w:t>IV.</w:t>
      </w:r>
      <w:r w:rsidRPr="00245175">
        <w:rPr>
          <w:rFonts w:ascii="Arial" w:hAnsi="Arial" w:cs="Arial"/>
          <w:b/>
          <w:sz w:val="22"/>
          <w:szCs w:val="22"/>
          <w:lang w:val="es-ES_tradnl"/>
        </w:rPr>
        <w:tab/>
      </w:r>
      <w:r w:rsidR="001A1FF2" w:rsidRPr="00245175">
        <w:rPr>
          <w:rFonts w:ascii="Arial" w:hAnsi="Arial" w:cs="Arial"/>
          <w:b/>
          <w:sz w:val="22"/>
          <w:szCs w:val="22"/>
          <w:lang w:val="es-ES_tradnl"/>
        </w:rPr>
        <w:t>BASE LEGAL</w:t>
      </w:r>
    </w:p>
    <w:p w:rsidR="001A1FF2" w:rsidRPr="00245175" w:rsidRDefault="001A1FF2" w:rsidP="001A1FF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A1FF2" w:rsidRPr="00245175" w:rsidRDefault="001A1FF2" w:rsidP="00AC0F92">
      <w:pPr>
        <w:numPr>
          <w:ilvl w:val="0"/>
          <w:numId w:val="4"/>
        </w:numPr>
        <w:tabs>
          <w:tab w:val="clear" w:pos="1425"/>
          <w:tab w:val="num" w:pos="1080"/>
        </w:tabs>
        <w:ind w:left="107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E67AEA">
        <w:rPr>
          <w:rFonts w:ascii="Arial" w:hAnsi="Arial" w:cs="Arial"/>
          <w:sz w:val="22"/>
          <w:szCs w:val="22"/>
          <w:lang w:val="en-US"/>
        </w:rPr>
        <w:t>D.S. N</w:t>
      </w:r>
      <w:r w:rsidR="00D37068" w:rsidRPr="00E67AEA">
        <w:rPr>
          <w:rFonts w:ascii="Arial" w:hAnsi="Arial" w:cs="Arial"/>
          <w:sz w:val="22"/>
          <w:szCs w:val="22"/>
          <w:lang w:val="en-US"/>
        </w:rPr>
        <w:t>º</w:t>
      </w:r>
      <w:r w:rsidRPr="00E67AEA">
        <w:rPr>
          <w:rFonts w:ascii="Arial" w:hAnsi="Arial" w:cs="Arial"/>
          <w:sz w:val="22"/>
          <w:szCs w:val="22"/>
          <w:lang w:val="en-US"/>
        </w:rPr>
        <w:t xml:space="preserve"> 006-75-PM/INAP</w:t>
      </w:r>
      <w:r w:rsidR="00F840DE" w:rsidRPr="00E67AEA">
        <w:rPr>
          <w:rFonts w:ascii="Arial" w:hAnsi="Arial" w:cs="Arial"/>
          <w:sz w:val="22"/>
          <w:szCs w:val="22"/>
          <w:lang w:val="en-US"/>
        </w:rPr>
        <w:t>.</w:t>
      </w:r>
      <w:r w:rsidRPr="00E67AEA">
        <w:rPr>
          <w:rFonts w:ascii="Arial" w:hAnsi="Arial" w:cs="Arial"/>
          <w:sz w:val="22"/>
          <w:szCs w:val="22"/>
          <w:lang w:val="en-US"/>
        </w:rPr>
        <w:t xml:space="preserve"> 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Establecer </w:t>
      </w:r>
      <w:r w:rsidR="004802AB" w:rsidRPr="00245175">
        <w:rPr>
          <w:rFonts w:ascii="Arial" w:hAnsi="Arial" w:cs="Arial"/>
          <w:sz w:val="22"/>
          <w:szCs w:val="22"/>
          <w:lang w:val="es-ES_tradnl"/>
        </w:rPr>
        <w:t xml:space="preserve">Disposiciones Aplicables </w:t>
      </w:r>
      <w:r w:rsidRPr="00245175">
        <w:rPr>
          <w:rFonts w:ascii="Arial" w:hAnsi="Arial" w:cs="Arial"/>
          <w:sz w:val="22"/>
          <w:szCs w:val="22"/>
          <w:lang w:val="es-ES_tradnl"/>
        </w:rPr>
        <w:t>a los Comités de Administración de los Fondos de Asistencia y Estímulo de las Entidades Públicas</w:t>
      </w:r>
      <w:r w:rsidR="00AC0F92" w:rsidRPr="00245175">
        <w:rPr>
          <w:rFonts w:ascii="Arial" w:hAnsi="Arial" w:cs="Arial"/>
          <w:sz w:val="22"/>
          <w:szCs w:val="22"/>
          <w:lang w:val="es-ES_tradnl"/>
        </w:rPr>
        <w:t>.</w:t>
      </w:r>
    </w:p>
    <w:p w:rsidR="001A1FF2" w:rsidRPr="00245175" w:rsidRDefault="001A1FF2" w:rsidP="001A1FF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A1FF2" w:rsidRPr="00245175" w:rsidRDefault="001A1FF2" w:rsidP="004802AB">
      <w:pPr>
        <w:numPr>
          <w:ilvl w:val="0"/>
          <w:numId w:val="4"/>
        </w:numPr>
        <w:tabs>
          <w:tab w:val="clear" w:pos="1425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D.S. N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º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051-9</w:t>
      </w:r>
      <w:r w:rsidR="00AC0F92" w:rsidRPr="00245175">
        <w:rPr>
          <w:rFonts w:ascii="Arial" w:hAnsi="Arial" w:cs="Arial"/>
          <w:sz w:val="22"/>
          <w:szCs w:val="22"/>
          <w:lang w:val="es-ES_tradnl"/>
        </w:rPr>
        <w:t>1</w:t>
      </w:r>
      <w:r w:rsidRPr="00245175">
        <w:rPr>
          <w:rFonts w:ascii="Arial" w:hAnsi="Arial" w:cs="Arial"/>
          <w:sz w:val="22"/>
          <w:szCs w:val="22"/>
          <w:lang w:val="es-ES_tradnl"/>
        </w:rPr>
        <w:t>-PCM</w:t>
      </w:r>
      <w:r w:rsidR="00AC0F92" w:rsidRPr="00245175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616257" w:rsidRPr="00245175">
        <w:rPr>
          <w:rFonts w:ascii="Arial" w:hAnsi="Arial" w:cs="Arial"/>
          <w:sz w:val="22"/>
          <w:szCs w:val="22"/>
          <w:lang w:val="es-ES_tradnl"/>
        </w:rPr>
        <w:t>Normas reglamentarias sobre niveles remunerativos de funcionarios, servidores y pensionistas del Estado.</w:t>
      </w:r>
    </w:p>
    <w:p w:rsidR="001A1FF2" w:rsidRPr="00245175" w:rsidRDefault="001A1FF2" w:rsidP="001A1FF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A1FF2" w:rsidRPr="00245175" w:rsidRDefault="001A1FF2" w:rsidP="004802AB">
      <w:pPr>
        <w:numPr>
          <w:ilvl w:val="0"/>
          <w:numId w:val="4"/>
        </w:numPr>
        <w:tabs>
          <w:tab w:val="clear" w:pos="1425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D.S. N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º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067-92-EF. Precisa los mecanismos para la utilización de los Recursos del Fondo de Asistencia y Estímulo del Sector Público.</w:t>
      </w:r>
    </w:p>
    <w:p w:rsidR="001A1FF2" w:rsidRPr="00245175" w:rsidRDefault="001A1FF2" w:rsidP="001A1FF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A1FF2" w:rsidRPr="00245175" w:rsidRDefault="001A1FF2" w:rsidP="004802AB">
      <w:pPr>
        <w:numPr>
          <w:ilvl w:val="0"/>
          <w:numId w:val="4"/>
        </w:numPr>
        <w:tabs>
          <w:tab w:val="clear" w:pos="1425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D.S. N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º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110-2001-</w:t>
      </w:r>
      <w:r w:rsidR="00773E41" w:rsidRPr="00245175">
        <w:rPr>
          <w:rFonts w:ascii="Arial" w:hAnsi="Arial" w:cs="Arial"/>
          <w:sz w:val="22"/>
          <w:szCs w:val="22"/>
          <w:lang w:val="es-ES_tradnl"/>
        </w:rPr>
        <w:t>EF.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Precisa que incentivos y/o entregas programadas o actividades de bienestar aprobados en el marco del DS. No. 005-90-PCM, no tienen naturaleza remunerativa”.</w:t>
      </w:r>
    </w:p>
    <w:p w:rsidR="001A1FF2" w:rsidRPr="00245175" w:rsidRDefault="001A1FF2" w:rsidP="001A1FF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A1FF2" w:rsidRPr="00245175" w:rsidRDefault="001A1FF2" w:rsidP="004802AB">
      <w:pPr>
        <w:numPr>
          <w:ilvl w:val="0"/>
          <w:numId w:val="4"/>
        </w:numPr>
        <w:tabs>
          <w:tab w:val="clear" w:pos="1425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D.U. N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º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088-2001.</w:t>
      </w:r>
      <w:r w:rsidR="00773E41" w:rsidRPr="00245175">
        <w:rPr>
          <w:rFonts w:ascii="Arial" w:hAnsi="Arial" w:cs="Arial"/>
          <w:sz w:val="22"/>
          <w:szCs w:val="22"/>
          <w:lang w:val="es-ES_tradnl"/>
        </w:rPr>
        <w:t>EF.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Establece</w:t>
      </w:r>
      <w:r w:rsidR="00216792" w:rsidRPr="00245175">
        <w:rPr>
          <w:rFonts w:ascii="Arial" w:hAnsi="Arial" w:cs="Arial"/>
          <w:sz w:val="22"/>
          <w:szCs w:val="22"/>
          <w:lang w:val="es-ES_tradnl"/>
        </w:rPr>
        <w:t>n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disposiciones aplicables a los Comités de Administración de los Fondos de Asistencia y Estímulo de </w:t>
      </w:r>
      <w:r w:rsidR="00216792" w:rsidRPr="00245175">
        <w:rPr>
          <w:rFonts w:ascii="Arial" w:hAnsi="Arial" w:cs="Arial"/>
          <w:sz w:val="22"/>
          <w:szCs w:val="22"/>
          <w:lang w:val="es-ES_tradnl"/>
        </w:rPr>
        <w:t>entidades públicas.</w:t>
      </w:r>
    </w:p>
    <w:p w:rsidR="001A1FF2" w:rsidRPr="00245175" w:rsidRDefault="001A1FF2" w:rsidP="001A1FF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A1FF2" w:rsidRPr="00245175" w:rsidRDefault="001A1FF2" w:rsidP="001A1FF2">
      <w:pPr>
        <w:numPr>
          <w:ilvl w:val="0"/>
          <w:numId w:val="4"/>
        </w:numPr>
        <w:tabs>
          <w:tab w:val="clear" w:pos="1425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Ley N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º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27968</w:t>
      </w:r>
      <w:r w:rsidR="00216792" w:rsidRPr="00245175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04979" w:rsidRPr="00245175">
        <w:rPr>
          <w:rFonts w:ascii="Arial" w:hAnsi="Arial" w:cs="Arial"/>
          <w:sz w:val="22"/>
          <w:szCs w:val="22"/>
          <w:lang w:val="es-ES_tradnl"/>
        </w:rPr>
        <w:t>Ley que establece medidas transitorias relativas a las transferencias de los CAFAE en los gobiernos regionales.</w:t>
      </w:r>
    </w:p>
    <w:p w:rsidR="00E04979" w:rsidRPr="00245175" w:rsidRDefault="00E04979" w:rsidP="00E04979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1A1FF2" w:rsidRPr="00245175" w:rsidRDefault="001A1FF2" w:rsidP="004802AB">
      <w:pPr>
        <w:numPr>
          <w:ilvl w:val="0"/>
          <w:numId w:val="4"/>
        </w:numPr>
        <w:tabs>
          <w:tab w:val="clear" w:pos="1425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Ley N</w:t>
      </w:r>
      <w:r w:rsidR="00D37068" w:rsidRPr="00245175">
        <w:rPr>
          <w:rFonts w:ascii="Arial" w:hAnsi="Arial" w:cs="Arial"/>
          <w:sz w:val="22"/>
          <w:szCs w:val="22"/>
          <w:lang w:val="es-ES_tradnl"/>
        </w:rPr>
        <w:t>º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28112</w:t>
      </w:r>
      <w:r w:rsidR="00E04979" w:rsidRPr="00245175">
        <w:rPr>
          <w:rFonts w:ascii="Arial" w:hAnsi="Arial" w:cs="Arial"/>
          <w:sz w:val="22"/>
          <w:szCs w:val="22"/>
          <w:lang w:val="es-ES_tradnl"/>
        </w:rPr>
        <w:t>.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Ley Marco de la Administración Financiera del Sector Público.</w:t>
      </w:r>
    </w:p>
    <w:p w:rsidR="00773E41" w:rsidRPr="00245175" w:rsidRDefault="00773E41" w:rsidP="00773E41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773E41" w:rsidRDefault="00773E41" w:rsidP="00773E41">
      <w:pPr>
        <w:numPr>
          <w:ilvl w:val="0"/>
          <w:numId w:val="4"/>
        </w:numPr>
        <w:tabs>
          <w:tab w:val="clear" w:pos="1425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Ley 28411</w:t>
      </w:r>
      <w:r w:rsidR="00E04979" w:rsidRPr="00245175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245175">
        <w:rPr>
          <w:rFonts w:ascii="Arial" w:hAnsi="Arial" w:cs="Arial"/>
          <w:sz w:val="22"/>
          <w:szCs w:val="22"/>
          <w:lang w:val="es-ES_tradnl"/>
        </w:rPr>
        <w:t>Ley General del Sistema Nacional de Presupuesto.</w:t>
      </w:r>
    </w:p>
    <w:p w:rsidR="00DC594F" w:rsidRDefault="00DC594F" w:rsidP="00DC594F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DC594F" w:rsidRDefault="00DC594F" w:rsidP="00773E41">
      <w:pPr>
        <w:numPr>
          <w:ilvl w:val="0"/>
          <w:numId w:val="4"/>
        </w:numPr>
        <w:tabs>
          <w:tab w:val="clear" w:pos="1425"/>
          <w:tab w:val="num" w:pos="1080"/>
        </w:tabs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R.D. Nº 003-2007-EF/76.01, que aprueba la Directiva para la ejecución presupuestaria y anexos por nivel de Gobierno Nacional, Gobierno Regional y Gobierno Local, Año Fiscal 2009.</w:t>
      </w:r>
    </w:p>
    <w:p w:rsidR="001F2583" w:rsidRDefault="001F2583" w:rsidP="001F2583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160425" w:rsidRPr="00245175" w:rsidRDefault="00716E60" w:rsidP="00C2353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b/>
          <w:sz w:val="22"/>
          <w:szCs w:val="22"/>
          <w:lang w:val="es-ES_tradnl"/>
        </w:rPr>
        <w:t xml:space="preserve">V. </w:t>
      </w:r>
      <w:r w:rsidRPr="00245175">
        <w:rPr>
          <w:rFonts w:ascii="Arial" w:hAnsi="Arial" w:cs="Arial"/>
          <w:b/>
          <w:sz w:val="22"/>
          <w:szCs w:val="22"/>
          <w:lang w:val="es-ES_tradnl"/>
        </w:rPr>
        <w:tab/>
      </w:r>
      <w:r w:rsidR="001A1FF2" w:rsidRPr="00245175">
        <w:rPr>
          <w:rFonts w:ascii="Arial" w:hAnsi="Arial" w:cs="Arial"/>
          <w:b/>
          <w:sz w:val="22"/>
          <w:szCs w:val="22"/>
          <w:lang w:val="es-ES_tradnl"/>
        </w:rPr>
        <w:t xml:space="preserve">DISPOSICIONES GENERALES </w:t>
      </w:r>
    </w:p>
    <w:p w:rsidR="0000227E" w:rsidRPr="00245175" w:rsidRDefault="0000227E" w:rsidP="00C2353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B2999" w:rsidRDefault="00160425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 xml:space="preserve">Las transferencias al CAFAE, para el pago de Incentivos Laborales, 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 xml:space="preserve">se efectuará mensualmente, </w:t>
      </w:r>
      <w:r w:rsidR="00AB2999" w:rsidRPr="00245175">
        <w:rPr>
          <w:rFonts w:ascii="Arial" w:hAnsi="Arial" w:cs="Arial"/>
          <w:sz w:val="22"/>
          <w:szCs w:val="22"/>
          <w:lang w:val="es-ES_tradnl"/>
        </w:rPr>
        <w:t xml:space="preserve">considerando </w:t>
      </w:r>
      <w:r w:rsidRPr="00245175">
        <w:rPr>
          <w:rFonts w:ascii="Arial" w:hAnsi="Arial" w:cs="Arial"/>
          <w:sz w:val="22"/>
          <w:szCs w:val="22"/>
          <w:lang w:val="es-ES_tradnl"/>
        </w:rPr>
        <w:t>el monto autorizado por la Dirección Nacional de Presupuesto Público del Ministerio de Economía y Finanzas</w:t>
      </w:r>
      <w:r w:rsidR="00AB2999" w:rsidRPr="00245175">
        <w:rPr>
          <w:rFonts w:ascii="Arial" w:hAnsi="Arial" w:cs="Arial"/>
          <w:sz w:val="22"/>
          <w:szCs w:val="22"/>
          <w:lang w:val="es-ES_tradnl"/>
        </w:rPr>
        <w:t>.</w:t>
      </w:r>
    </w:p>
    <w:p w:rsidR="00E67AEA" w:rsidRDefault="00E67AEA" w:rsidP="00E67AEA">
      <w:pPr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67AEA" w:rsidRDefault="00E67AEA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E67AEA">
        <w:rPr>
          <w:rFonts w:ascii="Arial" w:hAnsi="Arial" w:cs="Arial"/>
          <w:sz w:val="22"/>
          <w:szCs w:val="22"/>
          <w:lang w:val="es-ES_tradnl"/>
        </w:rPr>
        <w:t xml:space="preserve">Los fondos públicos materia de transferencia, no podrán utilizarse </w:t>
      </w:r>
      <w:r>
        <w:rPr>
          <w:rFonts w:ascii="Arial" w:hAnsi="Arial" w:cs="Arial"/>
          <w:sz w:val="22"/>
          <w:szCs w:val="22"/>
          <w:lang w:val="es-ES_tradnl"/>
        </w:rPr>
        <w:t xml:space="preserve">en </w:t>
      </w:r>
      <w:r w:rsidRPr="00E67AEA">
        <w:rPr>
          <w:rFonts w:ascii="Arial" w:hAnsi="Arial" w:cs="Arial"/>
          <w:sz w:val="22"/>
          <w:szCs w:val="22"/>
          <w:lang w:val="es-ES_tradnl"/>
        </w:rPr>
        <w:t>ningún tipo de gasto adicional o distinto a los incentivos laborales, ni gastos en otros programas de bienestar o agasajos</w:t>
      </w:r>
      <w:r>
        <w:rPr>
          <w:rFonts w:ascii="Arial" w:hAnsi="Arial" w:cs="Arial"/>
          <w:sz w:val="22"/>
          <w:szCs w:val="22"/>
          <w:lang w:val="es-ES_tradnl"/>
        </w:rPr>
        <w:t>, bajo responsabilidad de los miembros del CAFAE</w:t>
      </w:r>
      <w:r w:rsidRPr="00E67AEA">
        <w:rPr>
          <w:rFonts w:ascii="Arial" w:hAnsi="Arial" w:cs="Arial"/>
          <w:sz w:val="22"/>
          <w:szCs w:val="22"/>
          <w:lang w:val="es-ES_tradnl"/>
        </w:rPr>
        <w:t>.</w:t>
      </w:r>
      <w:r w:rsidR="005614A1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F4058" w:rsidRDefault="00AF4058" w:rsidP="00AF4058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C32427" w:rsidRDefault="00C32427" w:rsidP="00E67AEA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C32427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AF4058" w:rsidRPr="00C32427">
        <w:rPr>
          <w:rFonts w:ascii="Arial" w:hAnsi="Arial" w:cs="Arial"/>
          <w:sz w:val="22"/>
          <w:szCs w:val="22"/>
          <w:lang w:val="es-ES_tradnl"/>
        </w:rPr>
        <w:t xml:space="preserve"> Incentivo</w:t>
      </w:r>
      <w:r w:rsidRPr="00C32427">
        <w:rPr>
          <w:rFonts w:ascii="Arial" w:hAnsi="Arial" w:cs="Arial"/>
          <w:sz w:val="22"/>
          <w:szCs w:val="22"/>
          <w:lang w:val="es-ES_tradnl"/>
        </w:rPr>
        <w:t>s</w:t>
      </w:r>
      <w:r w:rsidR="00AF4058" w:rsidRPr="00C32427">
        <w:rPr>
          <w:rFonts w:ascii="Arial" w:hAnsi="Arial" w:cs="Arial"/>
          <w:sz w:val="22"/>
          <w:szCs w:val="22"/>
          <w:lang w:val="es-ES_tradnl"/>
        </w:rPr>
        <w:t xml:space="preserve"> Laboral</w:t>
      </w:r>
      <w:r w:rsidRPr="00C32427">
        <w:rPr>
          <w:rFonts w:ascii="Arial" w:hAnsi="Arial" w:cs="Arial"/>
          <w:sz w:val="22"/>
          <w:szCs w:val="22"/>
          <w:lang w:val="es-ES_tradnl"/>
        </w:rPr>
        <w:t>es resulta excluyente a otros beneficios que pueda percibir el personal administrativo bajo el régimen laboral del Decreto Legislativo Nº 276.</w:t>
      </w:r>
    </w:p>
    <w:p w:rsidR="00C32427" w:rsidRDefault="00C32427" w:rsidP="00C32427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583262" w:rsidRPr="00C32427" w:rsidRDefault="00AB2999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C32427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160425" w:rsidRPr="00C32427">
        <w:rPr>
          <w:rFonts w:ascii="Arial" w:hAnsi="Arial" w:cs="Arial"/>
          <w:sz w:val="22"/>
          <w:szCs w:val="22"/>
          <w:lang w:val="es-ES_tradnl"/>
        </w:rPr>
        <w:t xml:space="preserve">Dirección de </w:t>
      </w:r>
      <w:r w:rsidR="00D4000A" w:rsidRPr="00C32427">
        <w:rPr>
          <w:rFonts w:ascii="Arial" w:hAnsi="Arial" w:cs="Arial"/>
          <w:sz w:val="22"/>
          <w:szCs w:val="22"/>
          <w:lang w:val="es-ES_tradnl"/>
        </w:rPr>
        <w:t xml:space="preserve">Personal </w:t>
      </w:r>
      <w:r w:rsidR="00160425" w:rsidRPr="00C32427">
        <w:rPr>
          <w:rFonts w:ascii="Arial" w:hAnsi="Arial" w:cs="Arial"/>
          <w:sz w:val="22"/>
          <w:szCs w:val="22"/>
          <w:lang w:val="es-ES_tradnl"/>
        </w:rPr>
        <w:t xml:space="preserve">o </w:t>
      </w:r>
      <w:r w:rsidR="00E04979" w:rsidRPr="00C32427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160425" w:rsidRPr="00C32427">
        <w:rPr>
          <w:rFonts w:ascii="Arial" w:hAnsi="Arial" w:cs="Arial"/>
          <w:sz w:val="22"/>
          <w:szCs w:val="22"/>
          <w:lang w:val="es-ES_tradnl"/>
        </w:rPr>
        <w:t>que haga sus veces</w:t>
      </w:r>
      <w:r w:rsidR="00D4000A" w:rsidRPr="00C32427">
        <w:rPr>
          <w:rFonts w:ascii="Arial" w:hAnsi="Arial" w:cs="Arial"/>
          <w:sz w:val="22"/>
          <w:szCs w:val="22"/>
          <w:lang w:val="es-ES_tradnl"/>
        </w:rPr>
        <w:t>,</w:t>
      </w:r>
      <w:r w:rsidR="001D2CF7" w:rsidRPr="00C32427">
        <w:rPr>
          <w:rFonts w:ascii="Arial" w:hAnsi="Arial" w:cs="Arial"/>
          <w:sz w:val="22"/>
          <w:szCs w:val="22"/>
          <w:lang w:val="es-ES_tradnl"/>
        </w:rPr>
        <w:t xml:space="preserve"> efectúa el sustento técnico respect</w:t>
      </w:r>
      <w:r w:rsidR="00E04979" w:rsidRPr="00C32427">
        <w:rPr>
          <w:rFonts w:ascii="Arial" w:hAnsi="Arial" w:cs="Arial"/>
          <w:sz w:val="22"/>
          <w:szCs w:val="22"/>
          <w:lang w:val="es-ES_tradnl"/>
        </w:rPr>
        <w:t xml:space="preserve">ivo </w:t>
      </w:r>
      <w:r w:rsidR="009D4D2E" w:rsidRPr="00C32427">
        <w:rPr>
          <w:rFonts w:ascii="Arial" w:hAnsi="Arial" w:cs="Arial"/>
          <w:sz w:val="22"/>
          <w:szCs w:val="22"/>
          <w:lang w:val="es-ES_tradnl"/>
        </w:rPr>
        <w:t>y</w:t>
      </w:r>
      <w:r w:rsidR="001D2CF7" w:rsidRPr="00C32427">
        <w:rPr>
          <w:rFonts w:ascii="Arial" w:hAnsi="Arial" w:cs="Arial"/>
          <w:sz w:val="22"/>
          <w:szCs w:val="22"/>
          <w:lang w:val="es-ES_tradnl"/>
        </w:rPr>
        <w:t xml:space="preserve"> el requerimiento presupuestal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 xml:space="preserve"> considerando el  número de plazas ocupadas y el monto del incentivo que corresponde a cada servidor, de acuerdo a la escala establecida por categorías y niveles en la Directiva Interna de Aplicación del Incentivo Laboral.  La Dirección</w:t>
      </w:r>
      <w:r w:rsidR="006D3932" w:rsidRPr="00C32427">
        <w:rPr>
          <w:rFonts w:ascii="Arial" w:hAnsi="Arial" w:cs="Arial"/>
          <w:sz w:val="22"/>
          <w:szCs w:val="22"/>
          <w:lang w:val="es-ES_tradnl"/>
        </w:rPr>
        <w:t xml:space="preserve"> Regional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 xml:space="preserve"> de Administración o la que haga sus veces</w:t>
      </w:r>
      <w:r w:rsidR="0079335D" w:rsidRPr="00C32427">
        <w:rPr>
          <w:rFonts w:ascii="Arial" w:hAnsi="Arial" w:cs="Arial"/>
          <w:sz w:val="22"/>
          <w:szCs w:val="22"/>
          <w:lang w:val="es-ES_tradnl"/>
        </w:rPr>
        <w:t>,</w:t>
      </w:r>
      <w:r w:rsidR="001D2CF7" w:rsidRPr="00C3242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 xml:space="preserve">solicitará opinión </w:t>
      </w:r>
      <w:r w:rsidR="00484E3D" w:rsidRPr="00C32427">
        <w:rPr>
          <w:rFonts w:ascii="Arial" w:hAnsi="Arial" w:cs="Arial"/>
          <w:sz w:val="22"/>
          <w:szCs w:val="22"/>
          <w:lang w:val="es-ES_tradnl"/>
        </w:rPr>
        <w:t xml:space="preserve">de disponibilidad 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>presupuestal a la</w:t>
      </w:r>
      <w:r w:rsidR="00E04979" w:rsidRPr="00C32427">
        <w:rPr>
          <w:rFonts w:ascii="Arial" w:hAnsi="Arial" w:cs="Arial"/>
          <w:sz w:val="22"/>
          <w:szCs w:val="22"/>
          <w:lang w:val="es-ES_tradnl"/>
        </w:rPr>
        <w:t xml:space="preserve"> Gerencia Regional de Planeamiento, Presupuesto y Acondicionamiento Territorial</w:t>
      </w:r>
      <w:r w:rsidR="00484E3D" w:rsidRPr="00C32427">
        <w:rPr>
          <w:rFonts w:ascii="Arial" w:hAnsi="Arial" w:cs="Arial"/>
          <w:sz w:val="22"/>
          <w:szCs w:val="22"/>
          <w:lang w:val="es-ES_tradnl"/>
        </w:rPr>
        <w:t xml:space="preserve"> o la que haga sus veces en la unidad ejecutora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 xml:space="preserve">. Obtenida la opinión </w:t>
      </w:r>
      <w:r w:rsidR="00484E3D" w:rsidRPr="00C32427">
        <w:rPr>
          <w:rFonts w:ascii="Arial" w:hAnsi="Arial" w:cs="Arial"/>
          <w:sz w:val="22"/>
          <w:szCs w:val="22"/>
          <w:lang w:val="es-ES_tradnl"/>
        </w:rPr>
        <w:t xml:space="preserve">de disponibilidad 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>presupuestal, se procederá a proyectar la Resolución Ejecutiva Regional o la correspondiente</w:t>
      </w:r>
      <w:r w:rsidR="0079335D" w:rsidRPr="00C32427">
        <w:rPr>
          <w:rFonts w:ascii="Arial" w:hAnsi="Arial" w:cs="Arial"/>
          <w:sz w:val="22"/>
          <w:szCs w:val="22"/>
          <w:lang w:val="es-ES_tradnl"/>
        </w:rPr>
        <w:t>,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84E3D" w:rsidRPr="00C32427">
        <w:rPr>
          <w:rFonts w:ascii="Arial" w:hAnsi="Arial" w:cs="Arial"/>
          <w:sz w:val="22"/>
          <w:szCs w:val="22"/>
          <w:lang w:val="es-ES_tradnl"/>
        </w:rPr>
        <w:t>que autoriza la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 xml:space="preserve"> transferencia de fondos públicos a los CAFAES; procediéndose a su cumplimiento</w:t>
      </w:r>
      <w:r w:rsidR="00484E3D" w:rsidRPr="00C32427">
        <w:rPr>
          <w:rFonts w:ascii="Arial" w:hAnsi="Arial" w:cs="Arial"/>
          <w:sz w:val="22"/>
          <w:szCs w:val="22"/>
          <w:lang w:val="es-ES_tradnl"/>
        </w:rPr>
        <w:t>,</w:t>
      </w:r>
      <w:r w:rsidR="00265114" w:rsidRPr="00C32427">
        <w:rPr>
          <w:rFonts w:ascii="Arial" w:hAnsi="Arial" w:cs="Arial"/>
          <w:sz w:val="22"/>
          <w:szCs w:val="22"/>
          <w:lang w:val="es-ES_tradnl"/>
        </w:rPr>
        <w:t xml:space="preserve"> una vez suscritas por el titular de la entidad. </w:t>
      </w:r>
    </w:p>
    <w:p w:rsidR="00265114" w:rsidRPr="00245175" w:rsidRDefault="00265114" w:rsidP="00265114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FE133E" w:rsidRPr="00245175" w:rsidRDefault="00FE133E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Las transferencias financieras de Fondos Públicos al CAFAE, se afectan a la cadena del gasto 2.1.1</w:t>
      </w:r>
      <w:r w:rsidR="00485EB3" w:rsidRPr="00245175">
        <w:rPr>
          <w:rFonts w:ascii="Arial" w:hAnsi="Arial" w:cs="Arial"/>
          <w:sz w:val="22"/>
          <w:szCs w:val="22"/>
          <w:lang w:val="es-ES_tradnl"/>
        </w:rPr>
        <w:t>.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1.2.1. 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245175">
        <w:rPr>
          <w:rFonts w:ascii="Arial" w:hAnsi="Arial" w:cs="Arial"/>
          <w:sz w:val="22"/>
          <w:szCs w:val="22"/>
          <w:lang w:val="es-ES_tradnl"/>
        </w:rPr>
        <w:t>existencia de Crédito Presupuestario en la mencionada cadena, no es sustento legal ni fáctico para efectuar mayores transferencias al  CAFAE, con relación al monto transferido en el año próximo pasado.</w:t>
      </w:r>
    </w:p>
    <w:p w:rsidR="009931F4" w:rsidRPr="00245175" w:rsidRDefault="009931F4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64EE" w:rsidRPr="00245175" w:rsidRDefault="00B764EE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Los montos a transferirse al CAFAE, pueden efectuarse con cargo a todas las Fuentes de Financiamiento, con excepción de “Recursos por Operaciones Oficiales de Crédito</w:t>
      </w:r>
      <w:r w:rsidR="00B82163" w:rsidRPr="00245175">
        <w:rPr>
          <w:rFonts w:ascii="Arial" w:hAnsi="Arial" w:cs="Arial"/>
          <w:sz w:val="22"/>
          <w:szCs w:val="22"/>
          <w:lang w:val="es-ES_tradnl"/>
        </w:rPr>
        <w:t>”</w:t>
      </w:r>
      <w:r w:rsidR="000F7E7A" w:rsidRPr="00245175">
        <w:rPr>
          <w:rFonts w:ascii="Arial" w:hAnsi="Arial" w:cs="Arial"/>
          <w:sz w:val="22"/>
          <w:szCs w:val="22"/>
          <w:lang w:val="es-ES_tradnl"/>
        </w:rPr>
        <w:t xml:space="preserve"> y “Donaciones y Transferencias”.</w:t>
      </w:r>
    </w:p>
    <w:p w:rsidR="009931F4" w:rsidRPr="00245175" w:rsidRDefault="009931F4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7E7A" w:rsidRPr="00245175" w:rsidRDefault="000F7E7A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Los Fondos Públicos de la Fuente de Financiamiento de Recursos Ordinarios, transferidos al CAFAE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 xml:space="preserve"> y </w:t>
      </w:r>
      <w:r w:rsidRPr="00245175">
        <w:rPr>
          <w:rFonts w:ascii="Arial" w:hAnsi="Arial" w:cs="Arial"/>
          <w:sz w:val="22"/>
          <w:szCs w:val="22"/>
          <w:lang w:val="es-ES_tradnl"/>
        </w:rPr>
        <w:t>que no hayan sido utilizados a la culminación del año fiscal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245175">
        <w:rPr>
          <w:rFonts w:ascii="Arial" w:hAnsi="Arial" w:cs="Arial"/>
          <w:sz w:val="22"/>
          <w:szCs w:val="22"/>
          <w:lang w:val="es-ES_tradnl"/>
        </w:rPr>
        <w:t>deben revertirse al Tesoro Público.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 xml:space="preserve"> Si proceden de otra Fuente de Financiamiento, deben incorporarse al </w:t>
      </w:r>
      <w:r w:rsidR="00484E3D" w:rsidRPr="00245175">
        <w:rPr>
          <w:rFonts w:ascii="Arial" w:hAnsi="Arial" w:cs="Arial"/>
          <w:sz w:val="22"/>
          <w:szCs w:val="22"/>
          <w:lang w:val="es-ES_tradnl"/>
        </w:rPr>
        <w:t xml:space="preserve">presupuesto </w:t>
      </w:r>
      <w:r w:rsidR="00045A60" w:rsidRPr="00245175">
        <w:rPr>
          <w:rFonts w:ascii="Arial" w:hAnsi="Arial" w:cs="Arial"/>
          <w:sz w:val="22"/>
          <w:szCs w:val="22"/>
          <w:lang w:val="es-ES_tradnl"/>
        </w:rPr>
        <w:t>respectivo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>, de acuerdo al procedimiento establecido para la incorporación de donaciones y transferencias.</w:t>
      </w:r>
    </w:p>
    <w:p w:rsidR="0000227E" w:rsidRPr="00245175" w:rsidRDefault="0000227E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7E7A" w:rsidRPr="00245175" w:rsidRDefault="000F7E7A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La existencia de marco presupuestal o saldos presupuestarios en los Grupos Genéricos de Gasto</w:t>
      </w:r>
      <w:r w:rsidR="002F2617" w:rsidRPr="00245175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al cie</w:t>
      </w:r>
      <w:r w:rsidR="009931F4" w:rsidRPr="00245175">
        <w:rPr>
          <w:rFonts w:ascii="Arial" w:hAnsi="Arial" w:cs="Arial"/>
          <w:sz w:val="22"/>
          <w:szCs w:val="22"/>
          <w:lang w:val="es-ES_tradnl"/>
        </w:rPr>
        <w:t>r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re del año fiscal, no constituyen sustento técnico para autorizar el otorgamiento de incentivos laborales, </w:t>
      </w:r>
      <w:r w:rsidR="002F2617" w:rsidRPr="00245175">
        <w:rPr>
          <w:rFonts w:ascii="Arial" w:hAnsi="Arial" w:cs="Arial"/>
          <w:sz w:val="22"/>
          <w:szCs w:val="22"/>
          <w:lang w:val="es-ES_tradnl"/>
        </w:rPr>
        <w:t>quedando pro</w:t>
      </w:r>
      <w:r w:rsidRPr="00245175">
        <w:rPr>
          <w:rFonts w:ascii="Arial" w:hAnsi="Arial" w:cs="Arial"/>
          <w:sz w:val="22"/>
          <w:szCs w:val="22"/>
          <w:lang w:val="es-ES_tradnl"/>
        </w:rPr>
        <w:t>hibido el uso de dicho marco o saldo presupuestal, de conformidad con lo establecido en el D.U. N</w:t>
      </w:r>
      <w:r w:rsidR="002F2617" w:rsidRPr="00245175">
        <w:rPr>
          <w:rFonts w:ascii="Arial" w:hAnsi="Arial" w:cs="Arial"/>
          <w:sz w:val="22"/>
          <w:szCs w:val="22"/>
          <w:lang w:val="es-ES_tradnl"/>
        </w:rPr>
        <w:t>º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048-2007.</w:t>
      </w:r>
    </w:p>
    <w:p w:rsidR="009931F4" w:rsidRPr="00245175" w:rsidRDefault="009931F4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31F4" w:rsidRDefault="009931F4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lastRenderedPageBreak/>
        <w:t>Las transferencias financieras para el año fiscal, no podrán ser mayores al monto transferido durante el año fiscal anterior, salvo las que correspondan para efectos de prestaciones a los servidores que se incorporaron durante el año anterior, así como a los destacados a la entidad</w:t>
      </w:r>
      <w:r w:rsidR="007D07CE" w:rsidRPr="0024517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7D07CE" w:rsidRPr="00245175">
        <w:rPr>
          <w:rFonts w:ascii="Arial" w:hAnsi="Arial" w:cs="Arial"/>
          <w:sz w:val="22"/>
          <w:szCs w:val="22"/>
          <w:lang w:val="es-ES_tradnl"/>
        </w:rPr>
        <w:t>que pertenecen al régimen laboral del D.L. N</w:t>
      </w:r>
      <w:r w:rsidR="002F2617" w:rsidRPr="00245175">
        <w:rPr>
          <w:rFonts w:ascii="Arial" w:hAnsi="Arial" w:cs="Arial"/>
          <w:sz w:val="22"/>
          <w:szCs w:val="22"/>
          <w:lang w:val="es-ES_tradnl"/>
        </w:rPr>
        <w:t>º</w:t>
      </w:r>
      <w:r w:rsidR="007D07CE" w:rsidRPr="00245175">
        <w:rPr>
          <w:rFonts w:ascii="Arial" w:hAnsi="Arial" w:cs="Arial"/>
          <w:sz w:val="22"/>
          <w:szCs w:val="22"/>
          <w:lang w:val="es-ES_tradnl"/>
        </w:rPr>
        <w:t xml:space="preserve"> 276;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requiriendo en </w:t>
      </w:r>
      <w:r w:rsidR="00734D36" w:rsidRPr="00245175">
        <w:rPr>
          <w:rFonts w:ascii="Arial" w:hAnsi="Arial" w:cs="Arial"/>
          <w:sz w:val="22"/>
          <w:szCs w:val="22"/>
          <w:lang w:val="es-ES_tradnl"/>
        </w:rPr>
        <w:t>todos los casos l</w:t>
      </w:r>
      <w:r w:rsidRPr="00245175">
        <w:rPr>
          <w:rFonts w:ascii="Arial" w:hAnsi="Arial" w:cs="Arial"/>
          <w:sz w:val="22"/>
          <w:szCs w:val="22"/>
          <w:lang w:val="es-ES_tradnl"/>
        </w:rPr>
        <w:t>a opinión favorable de la D</w:t>
      </w:r>
      <w:r w:rsidR="00734D36" w:rsidRPr="00245175">
        <w:rPr>
          <w:rFonts w:ascii="Arial" w:hAnsi="Arial" w:cs="Arial"/>
          <w:sz w:val="22"/>
          <w:szCs w:val="22"/>
          <w:lang w:val="es-ES_tradnl"/>
        </w:rPr>
        <w:t xml:space="preserve">irección </w:t>
      </w:r>
      <w:r w:rsidRPr="00245175">
        <w:rPr>
          <w:rFonts w:ascii="Arial" w:hAnsi="Arial" w:cs="Arial"/>
          <w:sz w:val="22"/>
          <w:szCs w:val="22"/>
          <w:lang w:val="es-ES_tradnl"/>
        </w:rPr>
        <w:t>N</w:t>
      </w:r>
      <w:r w:rsidR="00734D36" w:rsidRPr="00245175">
        <w:rPr>
          <w:rFonts w:ascii="Arial" w:hAnsi="Arial" w:cs="Arial"/>
          <w:sz w:val="22"/>
          <w:szCs w:val="22"/>
          <w:lang w:val="es-ES_tradnl"/>
        </w:rPr>
        <w:t xml:space="preserve">acional de </w:t>
      </w:r>
      <w:r w:rsidRPr="00245175">
        <w:rPr>
          <w:rFonts w:ascii="Arial" w:hAnsi="Arial" w:cs="Arial"/>
          <w:sz w:val="22"/>
          <w:szCs w:val="22"/>
          <w:lang w:val="es-ES_tradnl"/>
        </w:rPr>
        <w:t>P</w:t>
      </w:r>
      <w:r w:rsidR="00734D36" w:rsidRPr="00245175">
        <w:rPr>
          <w:rFonts w:ascii="Arial" w:hAnsi="Arial" w:cs="Arial"/>
          <w:sz w:val="22"/>
          <w:szCs w:val="22"/>
          <w:lang w:val="es-ES_tradnl"/>
        </w:rPr>
        <w:t xml:space="preserve">resupuesto </w:t>
      </w:r>
      <w:r w:rsidR="002F2617" w:rsidRPr="00245175">
        <w:rPr>
          <w:rFonts w:ascii="Arial" w:hAnsi="Arial" w:cs="Arial"/>
          <w:sz w:val="22"/>
          <w:szCs w:val="22"/>
          <w:lang w:val="es-ES_tradnl"/>
        </w:rPr>
        <w:t>Público</w:t>
      </w:r>
      <w:r w:rsidRPr="00245175">
        <w:rPr>
          <w:rFonts w:ascii="Arial" w:hAnsi="Arial" w:cs="Arial"/>
          <w:sz w:val="22"/>
          <w:szCs w:val="22"/>
          <w:lang w:val="es-ES_tradnl"/>
        </w:rPr>
        <w:t>, respecto al monto adicional que corresponda transferir para tal efecto.</w:t>
      </w:r>
    </w:p>
    <w:p w:rsidR="00DB2A7B" w:rsidRDefault="00DB2A7B" w:rsidP="00DB2A7B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DB2A7B" w:rsidRPr="00245175" w:rsidRDefault="00DB2A7B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otorgamiento de incrementos por concepto de incentivos laborales procederá previa</w:t>
      </w:r>
      <w:r w:rsidR="00665844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opinión favorable de la Dirección Nacional de Presupuesto Público.</w:t>
      </w:r>
    </w:p>
    <w:p w:rsidR="009931F4" w:rsidRPr="00245175" w:rsidRDefault="009931F4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31F4" w:rsidRPr="00245175" w:rsidRDefault="009931F4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734D36" w:rsidRPr="00245175">
        <w:rPr>
          <w:rFonts w:ascii="Arial" w:hAnsi="Arial" w:cs="Arial"/>
          <w:sz w:val="22"/>
          <w:szCs w:val="22"/>
          <w:lang w:val="es-ES_tradnl"/>
        </w:rPr>
        <w:t>c</w:t>
      </w:r>
      <w:r w:rsidRPr="00245175">
        <w:rPr>
          <w:rFonts w:ascii="Arial" w:hAnsi="Arial" w:cs="Arial"/>
          <w:sz w:val="22"/>
          <w:szCs w:val="22"/>
          <w:lang w:val="es-ES_tradnl"/>
        </w:rPr>
        <w:t>aso de requerirse mayores transferencias al CAFAE, obligatoriamente deberá presentarse el requerimiento al Pliego, acompañando la información que permita sustentar ante la DNPP del MEF</w:t>
      </w:r>
      <w:r w:rsidR="002F2617" w:rsidRPr="00245175">
        <w:rPr>
          <w:rFonts w:ascii="Arial" w:hAnsi="Arial" w:cs="Arial"/>
          <w:sz w:val="22"/>
          <w:szCs w:val="22"/>
          <w:lang w:val="es-ES_tradnl"/>
        </w:rPr>
        <w:t>. Para dicha solicitud se acompañará la documentación siguiente:</w:t>
      </w:r>
    </w:p>
    <w:p w:rsidR="009931F4" w:rsidRPr="00245175" w:rsidRDefault="009931F4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31F4" w:rsidRPr="00245175" w:rsidRDefault="009931F4" w:rsidP="00E04979">
      <w:pPr>
        <w:numPr>
          <w:ilvl w:val="2"/>
          <w:numId w:val="12"/>
        </w:numPr>
        <w:tabs>
          <w:tab w:val="clear" w:pos="2130"/>
        </w:tabs>
        <w:ind w:left="1418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La escala por niveles correspondiente a lo</w:t>
      </w:r>
      <w:r w:rsidR="000E260F" w:rsidRPr="00245175">
        <w:rPr>
          <w:rFonts w:ascii="Arial" w:hAnsi="Arial" w:cs="Arial"/>
          <w:sz w:val="22"/>
          <w:szCs w:val="22"/>
          <w:lang w:val="es-ES_tradnl"/>
        </w:rPr>
        <w:t>s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incrementos laborales.</w:t>
      </w:r>
    </w:p>
    <w:p w:rsidR="009931F4" w:rsidRPr="00245175" w:rsidRDefault="009931F4" w:rsidP="00E04979">
      <w:pPr>
        <w:numPr>
          <w:ilvl w:val="2"/>
          <w:numId w:val="12"/>
        </w:numPr>
        <w:tabs>
          <w:tab w:val="clear" w:pos="2130"/>
        </w:tabs>
        <w:ind w:left="1418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El costo anual y el crédito presupuestario consignado en el PIA por cada fuente de financiamiento a ser transferido al CAFAE.</w:t>
      </w:r>
    </w:p>
    <w:p w:rsidR="009931F4" w:rsidRPr="00245175" w:rsidRDefault="009931F4" w:rsidP="00E04979">
      <w:pPr>
        <w:numPr>
          <w:ilvl w:val="2"/>
          <w:numId w:val="12"/>
        </w:numPr>
        <w:tabs>
          <w:tab w:val="clear" w:pos="2130"/>
        </w:tabs>
        <w:ind w:left="1418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Flujo mensual de transferencias al CAFAE durante el año fis</w:t>
      </w:r>
      <w:r w:rsidR="00280109" w:rsidRPr="00245175">
        <w:rPr>
          <w:rFonts w:ascii="Arial" w:hAnsi="Arial" w:cs="Arial"/>
          <w:sz w:val="22"/>
          <w:szCs w:val="22"/>
          <w:lang w:val="es-ES_tradnl"/>
        </w:rPr>
        <w:t>c</w:t>
      </w:r>
      <w:r w:rsidRPr="00245175">
        <w:rPr>
          <w:rFonts w:ascii="Arial" w:hAnsi="Arial" w:cs="Arial"/>
          <w:sz w:val="22"/>
          <w:szCs w:val="22"/>
          <w:lang w:val="es-ES_tradnl"/>
        </w:rPr>
        <w:t>al anterior, por cada fuente de financiamiento, desagregado por trabajador que le asista el derecho.</w:t>
      </w:r>
    </w:p>
    <w:p w:rsidR="009931F4" w:rsidRPr="00245175" w:rsidRDefault="009931F4" w:rsidP="00E04979">
      <w:pPr>
        <w:numPr>
          <w:ilvl w:val="2"/>
          <w:numId w:val="12"/>
        </w:numPr>
        <w:tabs>
          <w:tab w:val="clear" w:pos="2130"/>
        </w:tabs>
        <w:ind w:left="1418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 xml:space="preserve">Monto total transferido al CAFAE durante el año fiscal anterior, desagregado por </w:t>
      </w:r>
      <w:r w:rsidR="00EE2571" w:rsidRPr="00245175">
        <w:rPr>
          <w:rFonts w:ascii="Arial" w:hAnsi="Arial" w:cs="Arial"/>
          <w:sz w:val="22"/>
          <w:szCs w:val="22"/>
          <w:lang w:val="es-ES_tradnl"/>
        </w:rPr>
        <w:t>cada servidor</w:t>
      </w:r>
      <w:r w:rsidRPr="00245175">
        <w:rPr>
          <w:rFonts w:ascii="Arial" w:hAnsi="Arial" w:cs="Arial"/>
          <w:sz w:val="22"/>
          <w:szCs w:val="22"/>
          <w:lang w:val="es-ES_tradnl"/>
        </w:rPr>
        <w:t>.</w:t>
      </w:r>
    </w:p>
    <w:p w:rsidR="009931F4" w:rsidRPr="00245175" w:rsidRDefault="009931F4" w:rsidP="00E04979">
      <w:pPr>
        <w:numPr>
          <w:ilvl w:val="2"/>
          <w:numId w:val="12"/>
        </w:numPr>
        <w:tabs>
          <w:tab w:val="clear" w:pos="2130"/>
        </w:tabs>
        <w:ind w:left="1418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 xml:space="preserve">Informe favorable de la </w:t>
      </w:r>
      <w:r w:rsidR="000E260F" w:rsidRPr="00245175">
        <w:rPr>
          <w:rFonts w:ascii="Arial" w:hAnsi="Arial" w:cs="Arial"/>
          <w:sz w:val="22"/>
          <w:szCs w:val="22"/>
          <w:lang w:val="es-ES_tradnl"/>
        </w:rPr>
        <w:t xml:space="preserve">Sub Gerencia de </w:t>
      </w:r>
      <w:r w:rsidRPr="00245175">
        <w:rPr>
          <w:rFonts w:ascii="Arial" w:hAnsi="Arial" w:cs="Arial"/>
          <w:sz w:val="22"/>
          <w:szCs w:val="22"/>
          <w:lang w:val="es-ES_tradnl"/>
        </w:rPr>
        <w:t>Presupuesto</w:t>
      </w:r>
      <w:r w:rsidR="000E260F" w:rsidRPr="00245175">
        <w:rPr>
          <w:rFonts w:ascii="Arial" w:hAnsi="Arial" w:cs="Arial"/>
          <w:sz w:val="22"/>
          <w:szCs w:val="22"/>
          <w:lang w:val="es-ES_tradnl"/>
        </w:rPr>
        <w:t xml:space="preserve"> y Tributación o de la que haga sus veces en la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Unidad Ejecutora.</w:t>
      </w:r>
    </w:p>
    <w:p w:rsidR="009931F4" w:rsidRPr="00245175" w:rsidRDefault="009931F4" w:rsidP="00E04979">
      <w:pPr>
        <w:numPr>
          <w:ilvl w:val="2"/>
          <w:numId w:val="12"/>
        </w:numPr>
        <w:tabs>
          <w:tab w:val="clear" w:pos="2130"/>
        </w:tabs>
        <w:ind w:left="1418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Saldo de las transferencias realizadas para el pago de incentivos laborales al 31 de diciembre de año fiscal anterior.</w:t>
      </w:r>
    </w:p>
    <w:p w:rsidR="009931F4" w:rsidRPr="00245175" w:rsidRDefault="009931F4" w:rsidP="009931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7E7A" w:rsidRPr="00245175" w:rsidRDefault="000F7E7A" w:rsidP="00E04979">
      <w:pPr>
        <w:pStyle w:val="Prrafodelista"/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 xml:space="preserve">Es responsabilidad del titular de la Unidad Ejecutora y de </w:t>
      </w:r>
      <w:r w:rsidR="000E260F" w:rsidRPr="00245175">
        <w:rPr>
          <w:rFonts w:ascii="Arial" w:hAnsi="Arial" w:cs="Arial"/>
          <w:sz w:val="22"/>
          <w:szCs w:val="22"/>
          <w:lang w:val="es-ES_tradnl"/>
        </w:rPr>
        <w:t>los miembros del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CAFAE, la inobservancia de lo dispuesto en la presente </w:t>
      </w:r>
      <w:r w:rsidR="00EE2571" w:rsidRPr="00245175">
        <w:rPr>
          <w:rFonts w:ascii="Arial" w:hAnsi="Arial" w:cs="Arial"/>
          <w:sz w:val="22"/>
          <w:szCs w:val="22"/>
          <w:lang w:val="es-ES_tradnl"/>
        </w:rPr>
        <w:t xml:space="preserve">directiva </w:t>
      </w:r>
      <w:r w:rsidRPr="00245175">
        <w:rPr>
          <w:rFonts w:ascii="Arial" w:hAnsi="Arial" w:cs="Arial"/>
          <w:sz w:val="22"/>
          <w:szCs w:val="22"/>
          <w:lang w:val="es-ES_tradnl"/>
        </w:rPr>
        <w:t>y l</w:t>
      </w:r>
      <w:r w:rsidR="00EE2571" w:rsidRPr="00245175">
        <w:rPr>
          <w:rFonts w:ascii="Arial" w:hAnsi="Arial" w:cs="Arial"/>
          <w:sz w:val="22"/>
          <w:szCs w:val="22"/>
          <w:lang w:val="es-ES_tradnl"/>
        </w:rPr>
        <w:t>as disposiciones legales vigentes sobre la transferencia de fondos públicos para el pago de incentivos laborales.</w:t>
      </w:r>
    </w:p>
    <w:p w:rsidR="00280109" w:rsidRPr="00245175" w:rsidRDefault="00280109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7E7A" w:rsidRPr="00245175" w:rsidRDefault="000F7E7A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La Gerencia Regional de Planeamiento, Presupuesto y Acondicionamiento Territorial o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45175">
        <w:rPr>
          <w:rFonts w:ascii="Arial" w:hAnsi="Arial" w:cs="Arial"/>
          <w:sz w:val="22"/>
          <w:szCs w:val="22"/>
          <w:lang w:val="es-ES_tradnl"/>
        </w:rPr>
        <w:t>la que hagan sus veces e</w:t>
      </w:r>
      <w:r w:rsidR="00D4000A" w:rsidRPr="00245175">
        <w:rPr>
          <w:rFonts w:ascii="Arial" w:hAnsi="Arial" w:cs="Arial"/>
          <w:sz w:val="22"/>
          <w:szCs w:val="22"/>
          <w:lang w:val="es-ES_tradnl"/>
        </w:rPr>
        <w:t xml:space="preserve">n las Unidades Ejecutoras, son </w:t>
      </w:r>
      <w:r w:rsidRPr="00245175">
        <w:rPr>
          <w:rFonts w:ascii="Arial" w:hAnsi="Arial" w:cs="Arial"/>
          <w:sz w:val="22"/>
          <w:szCs w:val="22"/>
          <w:lang w:val="es-ES_tradnl"/>
        </w:rPr>
        <w:t>encargad</w:t>
      </w:r>
      <w:r w:rsidR="00EE2571" w:rsidRPr="00245175">
        <w:rPr>
          <w:rFonts w:ascii="Arial" w:hAnsi="Arial" w:cs="Arial"/>
          <w:sz w:val="22"/>
          <w:szCs w:val="22"/>
          <w:lang w:val="es-ES_tradnl"/>
        </w:rPr>
        <w:t xml:space="preserve">as de emitir </w:t>
      </w:r>
      <w:r w:rsidRPr="00245175">
        <w:rPr>
          <w:rFonts w:ascii="Arial" w:hAnsi="Arial" w:cs="Arial"/>
          <w:sz w:val="22"/>
          <w:szCs w:val="22"/>
          <w:lang w:val="es-ES_tradnl"/>
        </w:rPr>
        <w:t>opini</w:t>
      </w:r>
      <w:r w:rsidR="00EE2571" w:rsidRPr="00245175">
        <w:rPr>
          <w:rFonts w:ascii="Arial" w:hAnsi="Arial" w:cs="Arial"/>
          <w:sz w:val="22"/>
          <w:szCs w:val="22"/>
          <w:lang w:val="es-ES_tradnl"/>
        </w:rPr>
        <w:t xml:space="preserve">ón </w:t>
      </w:r>
      <w:r w:rsidRPr="00245175">
        <w:rPr>
          <w:rFonts w:ascii="Arial" w:hAnsi="Arial" w:cs="Arial"/>
          <w:sz w:val="22"/>
          <w:szCs w:val="22"/>
          <w:lang w:val="es-ES_tradnl"/>
        </w:rPr>
        <w:t>de disponibilidad presupuestal</w:t>
      </w:r>
      <w:r w:rsidR="00EE2571" w:rsidRPr="00245175">
        <w:rPr>
          <w:rFonts w:ascii="Arial" w:hAnsi="Arial" w:cs="Arial"/>
          <w:sz w:val="22"/>
          <w:szCs w:val="22"/>
          <w:lang w:val="es-ES_tradnl"/>
        </w:rPr>
        <w:t>,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para efectuar las transferencias al CAFAE</w:t>
      </w:r>
      <w:r w:rsidR="00EE2571" w:rsidRPr="00245175">
        <w:rPr>
          <w:rFonts w:ascii="Arial" w:hAnsi="Arial" w:cs="Arial"/>
          <w:sz w:val="22"/>
          <w:szCs w:val="22"/>
          <w:lang w:val="es-ES_tradnl"/>
        </w:rPr>
        <w:t>.</w:t>
      </w:r>
    </w:p>
    <w:p w:rsidR="0000227E" w:rsidRPr="00245175" w:rsidRDefault="0000227E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7E7A" w:rsidRPr="00245175" w:rsidRDefault="000F7E7A" w:rsidP="00E04979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sz w:val="22"/>
          <w:szCs w:val="22"/>
          <w:lang w:val="es-ES_tradnl"/>
        </w:rPr>
        <w:t>Las asignaciones referidas</w:t>
      </w:r>
      <w:r w:rsidR="00086282" w:rsidRPr="00245175">
        <w:rPr>
          <w:rFonts w:ascii="Arial" w:hAnsi="Arial" w:cs="Arial"/>
          <w:sz w:val="22"/>
          <w:szCs w:val="22"/>
          <w:lang w:val="es-ES_tradnl"/>
        </w:rPr>
        <w:t xml:space="preserve"> en esta directiva no son de aplicación para los servidores de las entidades y dependencias que conforman el Gobierno </w:t>
      </w:r>
      <w:r w:rsidR="00EE2571" w:rsidRPr="00245175">
        <w:rPr>
          <w:rFonts w:ascii="Arial" w:hAnsi="Arial" w:cs="Arial"/>
          <w:sz w:val="22"/>
          <w:szCs w:val="22"/>
          <w:lang w:val="es-ES_tradnl"/>
        </w:rPr>
        <w:t xml:space="preserve">Regional Cajamarca </w:t>
      </w:r>
      <w:r w:rsidR="00086282" w:rsidRPr="00245175">
        <w:rPr>
          <w:rFonts w:ascii="Arial" w:hAnsi="Arial" w:cs="Arial"/>
          <w:sz w:val="22"/>
          <w:szCs w:val="22"/>
          <w:lang w:val="es-ES_tradnl"/>
        </w:rPr>
        <w:t>y que se encuentran en calidad de destacados en otras entidades públicas, fuera del ámbito regional.</w:t>
      </w:r>
    </w:p>
    <w:p w:rsidR="00280109" w:rsidRPr="00245175" w:rsidRDefault="00280109" w:rsidP="00E04979">
      <w:pPr>
        <w:ind w:left="1134" w:hanging="42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C594F" w:rsidRDefault="00DC594F" w:rsidP="00EE257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562DF" w:rsidRPr="00245175" w:rsidRDefault="004562DF" w:rsidP="00EE257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45175">
        <w:rPr>
          <w:rFonts w:ascii="Arial" w:hAnsi="Arial" w:cs="Arial"/>
          <w:b/>
          <w:sz w:val="22"/>
          <w:szCs w:val="22"/>
          <w:lang w:val="es-ES_tradnl"/>
        </w:rPr>
        <w:t>DISPOSICIONES FINALES</w:t>
      </w:r>
    </w:p>
    <w:p w:rsidR="00C2353C" w:rsidRDefault="00C2353C" w:rsidP="00C2353C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C594F" w:rsidRPr="00245175" w:rsidRDefault="00DC594F" w:rsidP="00C2353C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F11D94" w:rsidRPr="00245175" w:rsidRDefault="00EE2571" w:rsidP="00E67B3D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 w:rsidRPr="00245175">
        <w:rPr>
          <w:rFonts w:ascii="Arial" w:hAnsi="Arial" w:cs="Arial"/>
          <w:b/>
          <w:bCs/>
          <w:sz w:val="22"/>
          <w:szCs w:val="22"/>
        </w:rPr>
        <w:t>Primera.</w:t>
      </w:r>
      <w:r w:rsidRPr="00245175">
        <w:rPr>
          <w:rFonts w:ascii="Arial" w:hAnsi="Arial" w:cs="Arial"/>
          <w:bCs/>
          <w:sz w:val="22"/>
          <w:szCs w:val="22"/>
        </w:rPr>
        <w:t xml:space="preserve">  </w:t>
      </w:r>
      <w:r w:rsidR="00F11D94" w:rsidRPr="00245175">
        <w:rPr>
          <w:rFonts w:ascii="Arial" w:hAnsi="Arial" w:cs="Arial"/>
          <w:bCs/>
          <w:sz w:val="22"/>
          <w:szCs w:val="22"/>
        </w:rPr>
        <w:t>La Gerencia Regional de Planeamiento, Presupuesto y Acondicionamiento Territorial, a través de la Sub Gerencia de Presupuesto</w:t>
      </w:r>
      <w:r w:rsidR="00135DAC" w:rsidRPr="00245175">
        <w:rPr>
          <w:rFonts w:ascii="Arial" w:hAnsi="Arial" w:cs="Arial"/>
          <w:bCs/>
          <w:sz w:val="22"/>
          <w:szCs w:val="22"/>
        </w:rPr>
        <w:t xml:space="preserve"> y Tributación, desarrollará las acciones necesarias de asistencia técnica y supervisión </w:t>
      </w:r>
      <w:r w:rsidR="00F11D94" w:rsidRPr="00245175">
        <w:rPr>
          <w:rFonts w:ascii="Arial" w:hAnsi="Arial" w:cs="Arial"/>
          <w:bCs/>
          <w:sz w:val="22"/>
          <w:szCs w:val="22"/>
        </w:rPr>
        <w:t>a</w:t>
      </w:r>
      <w:r w:rsidR="00135DAC" w:rsidRPr="00245175">
        <w:rPr>
          <w:rFonts w:ascii="Arial" w:hAnsi="Arial" w:cs="Arial"/>
          <w:bCs/>
          <w:sz w:val="22"/>
          <w:szCs w:val="22"/>
        </w:rPr>
        <w:t>l personal competente de</w:t>
      </w:r>
      <w:r w:rsidR="00F11D94" w:rsidRPr="00245175">
        <w:rPr>
          <w:rFonts w:ascii="Arial" w:hAnsi="Arial" w:cs="Arial"/>
          <w:bCs/>
          <w:sz w:val="22"/>
          <w:szCs w:val="22"/>
        </w:rPr>
        <w:t xml:space="preserve"> las unidades</w:t>
      </w:r>
      <w:r w:rsidR="00135DAC" w:rsidRPr="00245175">
        <w:rPr>
          <w:rFonts w:ascii="Arial" w:hAnsi="Arial" w:cs="Arial"/>
          <w:bCs/>
          <w:sz w:val="22"/>
          <w:szCs w:val="22"/>
        </w:rPr>
        <w:t xml:space="preserve"> ejecutoras, a fin de garantizar el cumplimiento de las disposiciones contenidas en la presente directiva</w:t>
      </w:r>
      <w:r w:rsidR="00F11D94" w:rsidRPr="00245175">
        <w:rPr>
          <w:rFonts w:ascii="Arial" w:hAnsi="Arial" w:cs="Arial"/>
          <w:bCs/>
          <w:sz w:val="22"/>
          <w:szCs w:val="22"/>
        </w:rPr>
        <w:t xml:space="preserve">. </w:t>
      </w:r>
    </w:p>
    <w:p w:rsidR="00EE2571" w:rsidRPr="00245175" w:rsidRDefault="00EE2571" w:rsidP="00FE1464">
      <w:pPr>
        <w:ind w:left="993" w:hanging="1134"/>
        <w:jc w:val="both"/>
        <w:rPr>
          <w:rFonts w:ascii="Arial" w:hAnsi="Arial" w:cs="Arial"/>
          <w:sz w:val="22"/>
          <w:szCs w:val="22"/>
        </w:rPr>
      </w:pPr>
    </w:p>
    <w:p w:rsidR="00EE2571" w:rsidRPr="00245175" w:rsidRDefault="00EE2571" w:rsidP="00E67B3D">
      <w:pPr>
        <w:ind w:left="1134" w:hanging="1134"/>
        <w:jc w:val="both"/>
        <w:rPr>
          <w:rFonts w:ascii="Arial" w:hAnsi="Arial" w:cs="Arial"/>
          <w:sz w:val="22"/>
          <w:szCs w:val="22"/>
          <w:lang w:val="es-ES_tradnl"/>
        </w:rPr>
      </w:pPr>
      <w:r w:rsidRPr="00245175">
        <w:rPr>
          <w:rFonts w:ascii="Arial" w:hAnsi="Arial" w:cs="Arial"/>
          <w:b/>
          <w:sz w:val="22"/>
          <w:szCs w:val="22"/>
          <w:lang w:val="es-ES_tradnl"/>
        </w:rPr>
        <w:lastRenderedPageBreak/>
        <w:t>Segunda.</w:t>
      </w:r>
      <w:r w:rsidRPr="00245175">
        <w:rPr>
          <w:rFonts w:ascii="Arial" w:hAnsi="Arial" w:cs="Arial"/>
          <w:sz w:val="22"/>
          <w:szCs w:val="22"/>
          <w:lang w:val="es-ES_tradnl"/>
        </w:rPr>
        <w:t xml:space="preserve"> El Órgano de Control Institucional de las entidades que conforman el Gobierno Regional Cajamarca, será el encargado de velar por la observancia de lo dispuesto en la presente Directiva.</w:t>
      </w:r>
    </w:p>
    <w:p w:rsidR="00EE2571" w:rsidRPr="00245175" w:rsidRDefault="00EE2571" w:rsidP="00FE1464">
      <w:pPr>
        <w:ind w:left="993" w:hanging="993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0586A" w:rsidRPr="00245175" w:rsidRDefault="00C0586A" w:rsidP="00C0586A">
      <w:pPr>
        <w:ind w:left="1416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C0586A" w:rsidRPr="00245175" w:rsidSect="00DC594F">
      <w:headerReference w:type="even" r:id="rId8"/>
      <w:footerReference w:type="even" r:id="rId9"/>
      <w:footerReference w:type="default" r:id="rId10"/>
      <w:pgSz w:w="11906" w:h="16838" w:code="9"/>
      <w:pgMar w:top="1418" w:right="1274" w:bottom="1418" w:left="170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D6" w:rsidRDefault="00833AD6">
      <w:r>
        <w:separator/>
      </w:r>
    </w:p>
  </w:endnote>
  <w:endnote w:type="continuationSeparator" w:id="1">
    <w:p w:rsidR="00833AD6" w:rsidRDefault="0083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7B" w:rsidRDefault="004E2AFA" w:rsidP="001467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2B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2B7B" w:rsidRDefault="00112B7B" w:rsidP="0054340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7B" w:rsidRDefault="00112B7B" w:rsidP="0054340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D6" w:rsidRDefault="00833AD6">
      <w:r>
        <w:separator/>
      </w:r>
    </w:p>
  </w:footnote>
  <w:footnote w:type="continuationSeparator" w:id="1">
    <w:p w:rsidR="00833AD6" w:rsidRDefault="00833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7B" w:rsidRDefault="004E2AFA" w:rsidP="001467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2B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2B7B" w:rsidRDefault="00112B7B" w:rsidP="0054340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BD3"/>
    <w:multiLevelType w:val="multilevel"/>
    <w:tmpl w:val="D61EFC5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901616E"/>
    <w:multiLevelType w:val="multilevel"/>
    <w:tmpl w:val="2C32C9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0"/>
        </w:tabs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120"/>
        </w:tabs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20"/>
        </w:tabs>
        <w:ind w:left="27720" w:hanging="1800"/>
      </w:pPr>
      <w:rPr>
        <w:rFonts w:hint="default"/>
      </w:rPr>
    </w:lvl>
  </w:abstractNum>
  <w:abstractNum w:abstractNumId="2">
    <w:nsid w:val="1FA07E7C"/>
    <w:multiLevelType w:val="multilevel"/>
    <w:tmpl w:val="42088ED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ABA50EF"/>
    <w:multiLevelType w:val="hybridMultilevel"/>
    <w:tmpl w:val="6EF08D3A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25518B2"/>
    <w:multiLevelType w:val="multilevel"/>
    <w:tmpl w:val="C18228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37CC39BA"/>
    <w:multiLevelType w:val="hybridMultilevel"/>
    <w:tmpl w:val="BB5407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5596"/>
    <w:multiLevelType w:val="hybridMultilevel"/>
    <w:tmpl w:val="FD9868A2"/>
    <w:lvl w:ilvl="0" w:tplc="B6A685C2">
      <w:start w:val="6"/>
      <w:numFmt w:val="upperRoman"/>
      <w:lvlText w:val="%1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9E79FD"/>
    <w:multiLevelType w:val="hybridMultilevel"/>
    <w:tmpl w:val="C4963972"/>
    <w:lvl w:ilvl="0" w:tplc="DEA290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D14C6"/>
    <w:multiLevelType w:val="multilevel"/>
    <w:tmpl w:val="6A9C783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D8A7B61"/>
    <w:multiLevelType w:val="multilevel"/>
    <w:tmpl w:val="FF8684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CDD2FBB"/>
    <w:multiLevelType w:val="hybridMultilevel"/>
    <w:tmpl w:val="A0F66768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E9F5B5A"/>
    <w:multiLevelType w:val="multilevel"/>
    <w:tmpl w:val="CE16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16E60"/>
    <w:rsid w:val="0000227E"/>
    <w:rsid w:val="0000425B"/>
    <w:rsid w:val="00045A60"/>
    <w:rsid w:val="00086282"/>
    <w:rsid w:val="000C37F3"/>
    <w:rsid w:val="000E260F"/>
    <w:rsid w:val="000F7E7A"/>
    <w:rsid w:val="00105AD5"/>
    <w:rsid w:val="00112B7B"/>
    <w:rsid w:val="00135DAC"/>
    <w:rsid w:val="001467A1"/>
    <w:rsid w:val="00160425"/>
    <w:rsid w:val="001856B3"/>
    <w:rsid w:val="001A1FF2"/>
    <w:rsid w:val="001C4570"/>
    <w:rsid w:val="001C5BE7"/>
    <w:rsid w:val="001D2CF7"/>
    <w:rsid w:val="001D442B"/>
    <w:rsid w:val="001E4725"/>
    <w:rsid w:val="001E682A"/>
    <w:rsid w:val="001F2583"/>
    <w:rsid w:val="00216792"/>
    <w:rsid w:val="00245175"/>
    <w:rsid w:val="00265114"/>
    <w:rsid w:val="00280109"/>
    <w:rsid w:val="00283B39"/>
    <w:rsid w:val="00296FC5"/>
    <w:rsid w:val="002E6712"/>
    <w:rsid w:val="002F2617"/>
    <w:rsid w:val="002F4BD5"/>
    <w:rsid w:val="00327E42"/>
    <w:rsid w:val="00340BF4"/>
    <w:rsid w:val="00346C68"/>
    <w:rsid w:val="00357C40"/>
    <w:rsid w:val="00376D2A"/>
    <w:rsid w:val="003D7524"/>
    <w:rsid w:val="00413A2C"/>
    <w:rsid w:val="004166FB"/>
    <w:rsid w:val="00416C0A"/>
    <w:rsid w:val="00430636"/>
    <w:rsid w:val="00444C6B"/>
    <w:rsid w:val="004562DF"/>
    <w:rsid w:val="004674E5"/>
    <w:rsid w:val="00467DC2"/>
    <w:rsid w:val="004802AB"/>
    <w:rsid w:val="00484E3D"/>
    <w:rsid w:val="00485EB3"/>
    <w:rsid w:val="004879EA"/>
    <w:rsid w:val="004E2AFA"/>
    <w:rsid w:val="00531AB1"/>
    <w:rsid w:val="00536587"/>
    <w:rsid w:val="00543406"/>
    <w:rsid w:val="00554E64"/>
    <w:rsid w:val="005614A1"/>
    <w:rsid w:val="00583262"/>
    <w:rsid w:val="005B6E00"/>
    <w:rsid w:val="005C21F7"/>
    <w:rsid w:val="005D2C05"/>
    <w:rsid w:val="00604A95"/>
    <w:rsid w:val="00612C7B"/>
    <w:rsid w:val="00614901"/>
    <w:rsid w:val="00616257"/>
    <w:rsid w:val="00665844"/>
    <w:rsid w:val="00673565"/>
    <w:rsid w:val="006C720B"/>
    <w:rsid w:val="006D3932"/>
    <w:rsid w:val="006D47AF"/>
    <w:rsid w:val="006F3A86"/>
    <w:rsid w:val="00702C20"/>
    <w:rsid w:val="007164DF"/>
    <w:rsid w:val="007166F0"/>
    <w:rsid w:val="00716E60"/>
    <w:rsid w:val="00734D36"/>
    <w:rsid w:val="007647D3"/>
    <w:rsid w:val="007705F5"/>
    <w:rsid w:val="0077299D"/>
    <w:rsid w:val="00773E41"/>
    <w:rsid w:val="0079335D"/>
    <w:rsid w:val="007B04F4"/>
    <w:rsid w:val="007C7C64"/>
    <w:rsid w:val="007D07CE"/>
    <w:rsid w:val="00833AD6"/>
    <w:rsid w:val="008B7BF9"/>
    <w:rsid w:val="008C101B"/>
    <w:rsid w:val="008D510A"/>
    <w:rsid w:val="008E75AC"/>
    <w:rsid w:val="00923F4C"/>
    <w:rsid w:val="00931A0F"/>
    <w:rsid w:val="009624AD"/>
    <w:rsid w:val="009931F4"/>
    <w:rsid w:val="009D20C8"/>
    <w:rsid w:val="009D4D2E"/>
    <w:rsid w:val="00A31E4E"/>
    <w:rsid w:val="00AA578B"/>
    <w:rsid w:val="00AB1E40"/>
    <w:rsid w:val="00AB2999"/>
    <w:rsid w:val="00AC0F92"/>
    <w:rsid w:val="00AE5A2D"/>
    <w:rsid w:val="00AF4058"/>
    <w:rsid w:val="00AF493F"/>
    <w:rsid w:val="00B27294"/>
    <w:rsid w:val="00B33B1E"/>
    <w:rsid w:val="00B37B55"/>
    <w:rsid w:val="00B764EE"/>
    <w:rsid w:val="00B82163"/>
    <w:rsid w:val="00B861E4"/>
    <w:rsid w:val="00BC1C43"/>
    <w:rsid w:val="00BC2DAF"/>
    <w:rsid w:val="00BE2F30"/>
    <w:rsid w:val="00C0586A"/>
    <w:rsid w:val="00C2353C"/>
    <w:rsid w:val="00C32427"/>
    <w:rsid w:val="00C739DC"/>
    <w:rsid w:val="00CA57E3"/>
    <w:rsid w:val="00CD4907"/>
    <w:rsid w:val="00CF4E05"/>
    <w:rsid w:val="00CF7D48"/>
    <w:rsid w:val="00D37068"/>
    <w:rsid w:val="00D4000A"/>
    <w:rsid w:val="00D43479"/>
    <w:rsid w:val="00D75534"/>
    <w:rsid w:val="00D84D8F"/>
    <w:rsid w:val="00DB07E9"/>
    <w:rsid w:val="00DB2A7B"/>
    <w:rsid w:val="00DB3E49"/>
    <w:rsid w:val="00DB4D67"/>
    <w:rsid w:val="00DC594F"/>
    <w:rsid w:val="00DD146B"/>
    <w:rsid w:val="00DF5235"/>
    <w:rsid w:val="00E0387F"/>
    <w:rsid w:val="00E04979"/>
    <w:rsid w:val="00E42350"/>
    <w:rsid w:val="00E67AEA"/>
    <w:rsid w:val="00E67B3D"/>
    <w:rsid w:val="00EE2571"/>
    <w:rsid w:val="00F06BAB"/>
    <w:rsid w:val="00F11D94"/>
    <w:rsid w:val="00F25233"/>
    <w:rsid w:val="00F349CD"/>
    <w:rsid w:val="00F65696"/>
    <w:rsid w:val="00F70E28"/>
    <w:rsid w:val="00F76DA8"/>
    <w:rsid w:val="00F840DE"/>
    <w:rsid w:val="00F945BE"/>
    <w:rsid w:val="00FE0DDC"/>
    <w:rsid w:val="00FE133E"/>
    <w:rsid w:val="00FE1464"/>
    <w:rsid w:val="00FE34C1"/>
    <w:rsid w:val="00FE3783"/>
    <w:rsid w:val="00FE41F0"/>
    <w:rsid w:val="00FF07A0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C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434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3406"/>
  </w:style>
  <w:style w:type="paragraph" w:styleId="Piedepgina">
    <w:name w:val="footer"/>
    <w:basedOn w:val="Normal"/>
    <w:link w:val="PiedepginaCar"/>
    <w:uiPriority w:val="99"/>
    <w:rsid w:val="0054340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73E41"/>
    <w:pPr>
      <w:ind w:left="7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0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B6E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E0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6E0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AA77-6A4A-4875-B77B-900B0B0B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No</vt:lpstr>
    </vt:vector>
  </TitlesOfParts>
  <Company>q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No</dc:title>
  <dc:subject/>
  <dc:creator>q</dc:creator>
  <cp:keywords/>
  <dc:description/>
  <cp:lastModifiedBy>HugoReyna</cp:lastModifiedBy>
  <cp:revision>9</cp:revision>
  <cp:lastPrinted>2009-09-25T13:40:00Z</cp:lastPrinted>
  <dcterms:created xsi:type="dcterms:W3CDTF">2009-09-25T13:37:00Z</dcterms:created>
  <dcterms:modified xsi:type="dcterms:W3CDTF">2009-10-28T21:17:00Z</dcterms:modified>
</cp:coreProperties>
</file>