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FBA" w:rsidRDefault="00EE2FBA" w:rsidP="00EE2FBA">
      <w:pPr>
        <w:pStyle w:val="Standard"/>
        <w:jc w:val="center"/>
      </w:pPr>
      <w:r>
        <w:rPr>
          <w:b/>
          <w:bCs/>
        </w:rPr>
        <w:t>SEGUIMIENTO DE LOS ACUERDOS DE LA CUARTA SESIÓN DEL COMITE</w:t>
      </w:r>
    </w:p>
    <w:p w:rsidR="00EE2FBA" w:rsidRDefault="00EE2FBA" w:rsidP="00EE2FBA">
      <w:pPr>
        <w:pStyle w:val="Standard"/>
        <w:jc w:val="center"/>
        <w:rPr>
          <w:b/>
          <w:bCs/>
        </w:rPr>
      </w:pPr>
      <w:r>
        <w:rPr>
          <w:b/>
          <w:bCs/>
        </w:rPr>
        <w:tab/>
        <w:t>REGIONAL DE INVERSIONES.</w:t>
      </w:r>
    </w:p>
    <w:p w:rsidR="00EE2FBA" w:rsidRDefault="00EE2FBA" w:rsidP="00EE2FBA">
      <w:pPr>
        <w:pStyle w:val="Standard"/>
      </w:pPr>
    </w:p>
    <w:tbl>
      <w:tblPr>
        <w:tblW w:w="9645" w:type="dxa"/>
        <w:tblLayout w:type="fixed"/>
        <w:tblCellMar>
          <w:left w:w="10" w:type="dxa"/>
          <w:right w:w="10" w:type="dxa"/>
        </w:tblCellMar>
        <w:tblLook w:val="04A0" w:firstRow="1" w:lastRow="0" w:firstColumn="1" w:lastColumn="0" w:noHBand="0" w:noVBand="1"/>
      </w:tblPr>
      <w:tblGrid>
        <w:gridCol w:w="960"/>
        <w:gridCol w:w="3859"/>
        <w:gridCol w:w="1421"/>
        <w:gridCol w:w="3405"/>
      </w:tblGrid>
      <w:tr w:rsidR="00EE2FBA" w:rsidTr="003E33A1">
        <w:tc>
          <w:tcPr>
            <w:tcW w:w="96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E2FBA" w:rsidRDefault="00EE2FBA">
            <w:pPr>
              <w:pStyle w:val="TableContents"/>
              <w:jc w:val="center"/>
              <w:rPr>
                <w:rFonts w:ascii="Arial Narrow" w:hAnsi="Arial Narrow"/>
                <w:b/>
                <w:bCs/>
                <w:sz w:val="20"/>
                <w:szCs w:val="20"/>
              </w:rPr>
            </w:pPr>
            <w:r>
              <w:rPr>
                <w:rFonts w:ascii="Arial Narrow" w:hAnsi="Arial Narrow"/>
                <w:b/>
                <w:bCs/>
                <w:sz w:val="20"/>
                <w:szCs w:val="20"/>
              </w:rPr>
              <w:t>Nº</w:t>
            </w:r>
          </w:p>
        </w:tc>
        <w:tc>
          <w:tcPr>
            <w:tcW w:w="385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E2FBA" w:rsidRDefault="00EE2FBA" w:rsidP="009A47ED">
            <w:pPr>
              <w:pStyle w:val="TableContents"/>
              <w:ind w:right="31"/>
              <w:jc w:val="center"/>
              <w:rPr>
                <w:rFonts w:ascii="Arial Narrow" w:hAnsi="Arial Narrow"/>
                <w:b/>
                <w:bCs/>
                <w:sz w:val="20"/>
                <w:szCs w:val="20"/>
              </w:rPr>
            </w:pPr>
            <w:r>
              <w:rPr>
                <w:rFonts w:ascii="Arial Narrow" w:hAnsi="Arial Narrow"/>
                <w:b/>
                <w:bCs/>
                <w:sz w:val="20"/>
                <w:szCs w:val="20"/>
              </w:rPr>
              <w:t>ACUERDO</w:t>
            </w:r>
          </w:p>
        </w:tc>
        <w:tc>
          <w:tcPr>
            <w:tcW w:w="142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E2FBA" w:rsidRDefault="00EE2FBA">
            <w:pPr>
              <w:pStyle w:val="TableContents"/>
              <w:jc w:val="center"/>
              <w:rPr>
                <w:rFonts w:ascii="Arial Narrow" w:hAnsi="Arial Narrow"/>
                <w:b/>
                <w:bCs/>
                <w:sz w:val="20"/>
                <w:szCs w:val="20"/>
              </w:rPr>
            </w:pPr>
            <w:r>
              <w:rPr>
                <w:rFonts w:ascii="Arial Narrow" w:hAnsi="Arial Narrow"/>
                <w:b/>
                <w:bCs/>
                <w:sz w:val="20"/>
                <w:szCs w:val="20"/>
              </w:rPr>
              <w:t>CUMPLIMIENTO</w:t>
            </w:r>
          </w:p>
          <w:p w:rsidR="00EE2FBA" w:rsidRDefault="00EE2FBA">
            <w:pPr>
              <w:pStyle w:val="TableContents"/>
              <w:jc w:val="center"/>
              <w:rPr>
                <w:rFonts w:ascii="Arial Narrow" w:hAnsi="Arial Narrow"/>
                <w:b/>
                <w:bCs/>
                <w:sz w:val="20"/>
                <w:szCs w:val="20"/>
              </w:rPr>
            </w:pPr>
            <w:r>
              <w:rPr>
                <w:rFonts w:ascii="Arial Narrow" w:hAnsi="Arial Narrow"/>
                <w:b/>
                <w:bCs/>
                <w:sz w:val="20"/>
                <w:szCs w:val="20"/>
              </w:rPr>
              <w:t>(SI/NO)</w:t>
            </w:r>
          </w:p>
        </w:tc>
        <w:tc>
          <w:tcPr>
            <w:tcW w:w="340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E2FBA" w:rsidRDefault="00EE2FBA">
            <w:pPr>
              <w:pStyle w:val="TableContents"/>
              <w:jc w:val="center"/>
              <w:rPr>
                <w:rFonts w:ascii="Arial Narrow" w:hAnsi="Arial Narrow"/>
                <w:b/>
                <w:bCs/>
                <w:sz w:val="20"/>
                <w:szCs w:val="20"/>
              </w:rPr>
            </w:pPr>
            <w:r>
              <w:rPr>
                <w:rFonts w:ascii="Arial Narrow" w:hAnsi="Arial Narrow"/>
                <w:b/>
                <w:bCs/>
                <w:sz w:val="20"/>
                <w:szCs w:val="20"/>
              </w:rPr>
              <w:t>OBSERVACIONES</w:t>
            </w:r>
          </w:p>
        </w:tc>
      </w:tr>
      <w:tr w:rsidR="00EE2FBA" w:rsidTr="003E33A1">
        <w:trPr>
          <w:trHeight w:val="3659"/>
        </w:trPr>
        <w:tc>
          <w:tcPr>
            <w:tcW w:w="960" w:type="dxa"/>
            <w:tcBorders>
              <w:top w:val="nil"/>
              <w:left w:val="single" w:sz="2" w:space="0" w:color="000000"/>
              <w:bottom w:val="single" w:sz="2" w:space="0" w:color="000000"/>
              <w:right w:val="nil"/>
            </w:tcBorders>
            <w:tcMar>
              <w:top w:w="55" w:type="dxa"/>
              <w:left w:w="55" w:type="dxa"/>
              <w:bottom w:w="55" w:type="dxa"/>
              <w:right w:w="55" w:type="dxa"/>
            </w:tcMar>
            <w:hideMark/>
          </w:tcPr>
          <w:p w:rsidR="00EE2FBA" w:rsidRDefault="00EE2FBA">
            <w:pPr>
              <w:pStyle w:val="TableContents"/>
              <w:rPr>
                <w:rFonts w:ascii="Arial Narrow" w:hAnsi="Arial Narrow"/>
                <w:sz w:val="18"/>
                <w:szCs w:val="18"/>
              </w:rPr>
            </w:pPr>
            <w:r>
              <w:rPr>
                <w:rFonts w:ascii="Arial Narrow" w:hAnsi="Arial Narrow"/>
                <w:sz w:val="18"/>
                <w:szCs w:val="18"/>
              </w:rPr>
              <w:t>1</w:t>
            </w:r>
          </w:p>
        </w:tc>
        <w:tc>
          <w:tcPr>
            <w:tcW w:w="3859" w:type="dxa"/>
            <w:tcBorders>
              <w:top w:val="nil"/>
              <w:left w:val="single" w:sz="2" w:space="0" w:color="000000"/>
              <w:bottom w:val="single" w:sz="2" w:space="0" w:color="000000"/>
              <w:right w:val="nil"/>
            </w:tcBorders>
            <w:tcMar>
              <w:top w:w="55" w:type="dxa"/>
              <w:left w:w="55" w:type="dxa"/>
              <w:bottom w:w="55" w:type="dxa"/>
              <w:right w:w="55" w:type="dxa"/>
            </w:tcMar>
          </w:tcPr>
          <w:p w:rsidR="00EE2FBA" w:rsidRDefault="009A47ED" w:rsidP="003E33A1">
            <w:pPr>
              <w:pStyle w:val="Standard"/>
              <w:tabs>
                <w:tab w:val="left" w:pos="416"/>
              </w:tabs>
              <w:ind w:right="31"/>
              <w:jc w:val="both"/>
              <w:rPr>
                <w:rFonts w:ascii="Arial Narrow" w:hAnsi="Arial Narrow"/>
                <w:sz w:val="18"/>
                <w:szCs w:val="18"/>
              </w:rPr>
            </w:pPr>
            <w:r>
              <w:rPr>
                <w:rFonts w:ascii="Arial Narrow" w:hAnsi="Arial Narrow"/>
                <w:sz w:val="18"/>
                <w:szCs w:val="18"/>
              </w:rPr>
              <w:t>Que s</w:t>
            </w:r>
            <w:r w:rsidR="00EE2FBA">
              <w:rPr>
                <w:rFonts w:ascii="Arial Narrow" w:hAnsi="Arial Narrow"/>
                <w:sz w:val="18"/>
                <w:szCs w:val="18"/>
              </w:rPr>
              <w:t>e conforme una comisión interna integrada por: Dirección Regional</w:t>
            </w:r>
            <w:r>
              <w:rPr>
                <w:rFonts w:ascii="Arial Narrow" w:hAnsi="Arial Narrow"/>
                <w:sz w:val="18"/>
                <w:szCs w:val="18"/>
              </w:rPr>
              <w:t xml:space="preserve"> </w:t>
            </w:r>
            <w:r w:rsidR="00EE2FBA">
              <w:rPr>
                <w:rFonts w:ascii="Arial Narrow" w:hAnsi="Arial Narrow"/>
                <w:sz w:val="18"/>
                <w:szCs w:val="18"/>
              </w:rPr>
              <w:t xml:space="preserve">de Administración que la preside, con las áreas usuarias, Sub Gerencia de Estudios, Dirección de </w:t>
            </w:r>
            <w:r w:rsidR="00EE2FBA">
              <w:rPr>
                <w:rFonts w:ascii="Arial Narrow" w:hAnsi="Arial Narrow"/>
                <w:sz w:val="18"/>
                <w:szCs w:val="18"/>
              </w:rPr>
              <w:tab/>
              <w:t>Abastecimientos, la GRI, UF, a fin de analizar y presentar un resultado en un plazo de 10 días calendarios a partir del día 13 de enero del 2011, conteniendo:</w:t>
            </w:r>
          </w:p>
          <w:p w:rsidR="00EE2FBA" w:rsidRDefault="00EE2FBA" w:rsidP="003E33A1">
            <w:pPr>
              <w:pStyle w:val="Prrafodelista"/>
              <w:tabs>
                <w:tab w:val="left" w:pos="-360"/>
              </w:tabs>
              <w:ind w:left="0" w:right="31"/>
              <w:jc w:val="both"/>
              <w:rPr>
                <w:rFonts w:ascii="Arial Narrow" w:hAnsi="Arial Narrow"/>
                <w:sz w:val="18"/>
                <w:szCs w:val="18"/>
                <w:lang w:eastAsia="zh-CN"/>
              </w:rPr>
            </w:pPr>
            <w:r>
              <w:rPr>
                <w:rFonts w:ascii="Arial Narrow" w:hAnsi="Arial Narrow"/>
                <w:sz w:val="18"/>
                <w:szCs w:val="18"/>
                <w:lang w:eastAsia="zh-CN"/>
              </w:rPr>
              <w:t>a) Un análisis de porque los procesos convocados de bienes y servicios se declaran desiertos o se caen.</w:t>
            </w:r>
          </w:p>
          <w:p w:rsidR="00EE2FBA" w:rsidRDefault="00EE2FBA" w:rsidP="003E33A1">
            <w:pPr>
              <w:pStyle w:val="Prrafodelista"/>
              <w:ind w:left="0" w:right="31"/>
              <w:jc w:val="both"/>
              <w:rPr>
                <w:rFonts w:ascii="Arial Narrow" w:hAnsi="Arial Narrow"/>
                <w:sz w:val="18"/>
                <w:szCs w:val="18"/>
                <w:lang w:eastAsia="zh-CN"/>
              </w:rPr>
            </w:pPr>
            <w:r>
              <w:rPr>
                <w:rFonts w:ascii="Arial Narrow" w:hAnsi="Arial Narrow"/>
                <w:sz w:val="18"/>
                <w:szCs w:val="18"/>
                <w:lang w:eastAsia="zh-CN"/>
              </w:rPr>
              <w:t xml:space="preserve">b) Un registro de cuantos procesos desde el año 2011 a la fecha se han declarado desiertos o </w:t>
            </w:r>
            <w:r w:rsidR="009A47ED">
              <w:rPr>
                <w:rFonts w:ascii="Arial Narrow" w:hAnsi="Arial Narrow"/>
                <w:sz w:val="18"/>
                <w:szCs w:val="18"/>
                <w:lang w:eastAsia="zh-CN"/>
              </w:rPr>
              <w:t>caído</w:t>
            </w:r>
            <w:r>
              <w:rPr>
                <w:rFonts w:ascii="Arial Narrow" w:hAnsi="Arial Narrow"/>
                <w:sz w:val="18"/>
                <w:szCs w:val="18"/>
                <w:lang w:eastAsia="zh-CN"/>
              </w:rPr>
              <w:t>.</w:t>
            </w:r>
          </w:p>
          <w:p w:rsidR="00EE2FBA" w:rsidRDefault="00EE2FBA" w:rsidP="003E33A1">
            <w:pPr>
              <w:pStyle w:val="Prrafodelista"/>
              <w:ind w:left="0" w:right="31"/>
              <w:jc w:val="both"/>
              <w:rPr>
                <w:rFonts w:ascii="Arial Narrow" w:hAnsi="Arial Narrow"/>
                <w:sz w:val="18"/>
                <w:szCs w:val="18"/>
                <w:lang w:eastAsia="zh-CN"/>
              </w:rPr>
            </w:pPr>
            <w:r>
              <w:rPr>
                <w:rFonts w:ascii="Arial Narrow" w:hAnsi="Arial Narrow"/>
                <w:sz w:val="18"/>
                <w:szCs w:val="18"/>
                <w:lang w:eastAsia="zh-CN"/>
              </w:rPr>
              <w:t>c) Coordinar con las UF para que tengan en cuenta que en los TDRs se consid</w:t>
            </w:r>
            <w:r w:rsidR="009A47ED">
              <w:rPr>
                <w:rFonts w:ascii="Arial Narrow" w:hAnsi="Arial Narrow"/>
                <w:sz w:val="18"/>
                <w:szCs w:val="18"/>
                <w:lang w:eastAsia="zh-CN"/>
              </w:rPr>
              <w:t>eren equipos técnicos adecuados y</w:t>
            </w:r>
            <w:r>
              <w:rPr>
                <w:rFonts w:ascii="Arial Narrow" w:hAnsi="Arial Narrow"/>
                <w:sz w:val="18"/>
                <w:szCs w:val="18"/>
                <w:lang w:eastAsia="zh-CN"/>
              </w:rPr>
              <w:t xml:space="preserve"> un presupuesto real.</w:t>
            </w:r>
          </w:p>
          <w:p w:rsidR="00EE2FBA" w:rsidRDefault="00EE2FBA" w:rsidP="003E33A1">
            <w:pPr>
              <w:pStyle w:val="Prrafodelista"/>
              <w:ind w:left="0" w:right="31"/>
              <w:jc w:val="both"/>
              <w:rPr>
                <w:rFonts w:ascii="Arial Narrow" w:hAnsi="Arial Narrow"/>
                <w:sz w:val="18"/>
                <w:szCs w:val="18"/>
                <w:lang w:eastAsia="zh-CN"/>
              </w:rPr>
            </w:pPr>
            <w:r>
              <w:rPr>
                <w:rFonts w:ascii="Arial Narrow" w:hAnsi="Arial Narrow"/>
                <w:sz w:val="18"/>
                <w:szCs w:val="18"/>
                <w:lang w:eastAsia="zh-CN"/>
              </w:rPr>
              <w:t xml:space="preserve">d) Al final del plazo tienen que </w:t>
            </w:r>
            <w:r w:rsidR="009A47ED">
              <w:rPr>
                <w:rFonts w:ascii="Arial Narrow" w:hAnsi="Arial Narrow"/>
                <w:sz w:val="18"/>
                <w:szCs w:val="18"/>
                <w:lang w:eastAsia="zh-CN"/>
              </w:rPr>
              <w:t>presentar</w:t>
            </w:r>
            <w:r>
              <w:rPr>
                <w:rFonts w:ascii="Arial Narrow" w:hAnsi="Arial Narrow"/>
                <w:sz w:val="18"/>
                <w:szCs w:val="18"/>
                <w:lang w:eastAsia="zh-CN"/>
              </w:rPr>
              <w:t xml:space="preserve"> recomendaciones después de concretar un resultado del análisis.</w:t>
            </w:r>
          </w:p>
          <w:p w:rsidR="00EE2FBA" w:rsidRDefault="00EE2FBA" w:rsidP="003E33A1">
            <w:pPr>
              <w:pStyle w:val="TableContents"/>
              <w:ind w:right="31"/>
              <w:jc w:val="both"/>
              <w:rPr>
                <w:rFonts w:ascii="Arial Narrow" w:hAnsi="Arial Narrow"/>
                <w:sz w:val="18"/>
                <w:szCs w:val="18"/>
              </w:rPr>
            </w:pPr>
          </w:p>
        </w:tc>
        <w:tc>
          <w:tcPr>
            <w:tcW w:w="1421" w:type="dxa"/>
            <w:tcBorders>
              <w:top w:val="nil"/>
              <w:left w:val="single" w:sz="2" w:space="0" w:color="000000"/>
              <w:bottom w:val="single" w:sz="2" w:space="0" w:color="000000"/>
              <w:right w:val="nil"/>
            </w:tcBorders>
            <w:tcMar>
              <w:top w:w="55" w:type="dxa"/>
              <w:left w:w="55" w:type="dxa"/>
              <w:bottom w:w="55" w:type="dxa"/>
              <w:right w:w="55" w:type="dxa"/>
            </w:tcMar>
            <w:hideMark/>
          </w:tcPr>
          <w:p w:rsidR="00EE2FBA" w:rsidRDefault="00EE2FBA">
            <w:pPr>
              <w:pStyle w:val="TableContents"/>
              <w:jc w:val="center"/>
              <w:rPr>
                <w:rFonts w:ascii="Arial Narrow" w:hAnsi="Arial Narrow"/>
                <w:sz w:val="18"/>
                <w:szCs w:val="18"/>
              </w:rPr>
            </w:pPr>
            <w:r>
              <w:rPr>
                <w:rFonts w:ascii="Arial Narrow" w:hAnsi="Arial Narrow"/>
                <w:sz w:val="18"/>
                <w:szCs w:val="18"/>
              </w:rPr>
              <w:t>SI</w:t>
            </w:r>
          </w:p>
        </w:tc>
        <w:tc>
          <w:tcPr>
            <w:tcW w:w="34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E2FBA" w:rsidRDefault="00EE2FBA" w:rsidP="003E33A1">
            <w:pPr>
              <w:pStyle w:val="TableContents"/>
              <w:ind w:right="37"/>
              <w:jc w:val="both"/>
              <w:rPr>
                <w:rFonts w:ascii="Arial Narrow" w:hAnsi="Arial Narrow"/>
                <w:sz w:val="18"/>
                <w:szCs w:val="18"/>
              </w:rPr>
            </w:pPr>
            <w:r>
              <w:rPr>
                <w:rFonts w:ascii="Arial Narrow" w:hAnsi="Arial Narrow"/>
                <w:sz w:val="18"/>
                <w:szCs w:val="18"/>
              </w:rPr>
              <w:t>Con fecha 24 de febrero del 2012, la Dirección de Administración alcanzó al Presidente del CRI el Oficio</w:t>
            </w:r>
            <w:r w:rsidR="009A47ED">
              <w:rPr>
                <w:rFonts w:ascii="Arial Narrow" w:hAnsi="Arial Narrow"/>
                <w:sz w:val="18"/>
                <w:szCs w:val="18"/>
              </w:rPr>
              <w:t xml:space="preserve"> Nº 142-2012 </w:t>
            </w:r>
            <w:r>
              <w:rPr>
                <w:rFonts w:ascii="Arial Narrow" w:hAnsi="Arial Narrow"/>
                <w:sz w:val="18"/>
                <w:szCs w:val="18"/>
              </w:rPr>
              <w:t xml:space="preserve">con SISGEDO  Nº 571977, una Memoria de Procesos de Selección declarados Desiertos. Refiere 18 </w:t>
            </w:r>
            <w:r w:rsidR="009A47ED">
              <w:rPr>
                <w:rFonts w:ascii="Arial Narrow" w:hAnsi="Arial Narrow"/>
                <w:sz w:val="18"/>
                <w:szCs w:val="18"/>
              </w:rPr>
              <w:t>procesos</w:t>
            </w:r>
            <w:r>
              <w:rPr>
                <w:rFonts w:ascii="Arial Narrow" w:hAnsi="Arial Narrow"/>
                <w:sz w:val="18"/>
                <w:szCs w:val="18"/>
              </w:rPr>
              <w:t xml:space="preserve"> declarados desiertos en el 2011 por causas como</w:t>
            </w:r>
            <w:r w:rsidR="009A47ED">
              <w:rPr>
                <w:rFonts w:ascii="Arial Narrow" w:hAnsi="Arial Narrow"/>
                <w:sz w:val="18"/>
                <w:szCs w:val="18"/>
              </w:rPr>
              <w:t>:</w:t>
            </w:r>
            <w:r>
              <w:rPr>
                <w:rFonts w:ascii="Arial Narrow" w:hAnsi="Arial Narrow"/>
                <w:sz w:val="18"/>
                <w:szCs w:val="18"/>
              </w:rPr>
              <w:t xml:space="preserve"> </w:t>
            </w:r>
            <w:r w:rsidR="009A47ED">
              <w:rPr>
                <w:rFonts w:ascii="Arial Narrow" w:hAnsi="Arial Narrow"/>
                <w:sz w:val="18"/>
                <w:szCs w:val="18"/>
              </w:rPr>
              <w:t xml:space="preserve">No </w:t>
            </w:r>
            <w:r>
              <w:rPr>
                <w:rFonts w:ascii="Arial Narrow" w:hAnsi="Arial Narrow"/>
                <w:sz w:val="18"/>
                <w:szCs w:val="18"/>
              </w:rPr>
              <w:t xml:space="preserve">cumplir los postores con los </w:t>
            </w:r>
            <w:r w:rsidR="009A47ED">
              <w:rPr>
                <w:rFonts w:ascii="Arial Narrow" w:hAnsi="Arial Narrow"/>
                <w:sz w:val="18"/>
                <w:szCs w:val="18"/>
              </w:rPr>
              <w:t>requerimientos técnicos, v</w:t>
            </w:r>
            <w:r>
              <w:rPr>
                <w:rFonts w:ascii="Arial Narrow" w:hAnsi="Arial Narrow"/>
                <w:sz w:val="18"/>
                <w:szCs w:val="18"/>
              </w:rPr>
              <w:t>alores referenciales muy bajos, plazos muy cortos, años de experiencia de los profesionales (altos).</w:t>
            </w:r>
            <w:r>
              <w:rPr>
                <w:rFonts w:ascii="Arial Narrow" w:hAnsi="Arial Narrow"/>
                <w:sz w:val="18"/>
                <w:szCs w:val="18"/>
              </w:rPr>
              <w:br/>
              <w:t>Otros 5 procesos correspondientes a: Turismo, por las exigencias de 7 profesionales con experiencia de 4 años, el valor referencial, plazo de se</w:t>
            </w:r>
            <w:r w:rsidR="009A47ED">
              <w:rPr>
                <w:rFonts w:ascii="Arial Narrow" w:hAnsi="Arial Narrow"/>
                <w:sz w:val="18"/>
                <w:szCs w:val="18"/>
              </w:rPr>
              <w:t>r</w:t>
            </w:r>
            <w:r>
              <w:rPr>
                <w:rFonts w:ascii="Arial Narrow" w:hAnsi="Arial Narrow"/>
                <w:sz w:val="18"/>
                <w:szCs w:val="18"/>
              </w:rPr>
              <w:t>vicio de  90 días.</w:t>
            </w:r>
          </w:p>
        </w:tc>
      </w:tr>
      <w:tr w:rsidR="00EE2FBA" w:rsidTr="003E33A1">
        <w:trPr>
          <w:trHeight w:val="3902"/>
        </w:trPr>
        <w:tc>
          <w:tcPr>
            <w:tcW w:w="960" w:type="dxa"/>
            <w:tcBorders>
              <w:top w:val="nil"/>
              <w:left w:val="single" w:sz="2" w:space="0" w:color="000000"/>
              <w:bottom w:val="single" w:sz="2" w:space="0" w:color="000000"/>
              <w:right w:val="nil"/>
            </w:tcBorders>
            <w:tcMar>
              <w:top w:w="55" w:type="dxa"/>
              <w:left w:w="55" w:type="dxa"/>
              <w:bottom w:w="55" w:type="dxa"/>
              <w:right w:w="55" w:type="dxa"/>
            </w:tcMar>
            <w:hideMark/>
          </w:tcPr>
          <w:p w:rsidR="00EE2FBA" w:rsidRDefault="00EE2FBA">
            <w:pPr>
              <w:pStyle w:val="TableContents"/>
              <w:rPr>
                <w:rFonts w:ascii="Arial Narrow" w:hAnsi="Arial Narrow"/>
                <w:sz w:val="18"/>
                <w:szCs w:val="18"/>
              </w:rPr>
            </w:pPr>
            <w:r>
              <w:rPr>
                <w:rFonts w:ascii="Arial Narrow" w:hAnsi="Arial Narrow"/>
                <w:sz w:val="18"/>
                <w:szCs w:val="18"/>
              </w:rPr>
              <w:t>2</w:t>
            </w:r>
          </w:p>
        </w:tc>
        <w:tc>
          <w:tcPr>
            <w:tcW w:w="3859" w:type="dxa"/>
            <w:tcBorders>
              <w:top w:val="nil"/>
              <w:left w:val="single" w:sz="2" w:space="0" w:color="000000"/>
              <w:bottom w:val="single" w:sz="2" w:space="0" w:color="000000"/>
              <w:right w:val="nil"/>
            </w:tcBorders>
            <w:tcMar>
              <w:top w:w="55" w:type="dxa"/>
              <w:left w:w="55" w:type="dxa"/>
              <w:bottom w:w="55" w:type="dxa"/>
              <w:right w:w="55" w:type="dxa"/>
            </w:tcMar>
            <w:hideMark/>
          </w:tcPr>
          <w:p w:rsidR="00EE2FBA" w:rsidRDefault="00EE2FBA" w:rsidP="003E33A1">
            <w:pPr>
              <w:pStyle w:val="Standard"/>
              <w:tabs>
                <w:tab w:val="left" w:pos="-220"/>
              </w:tabs>
              <w:ind w:right="31"/>
              <w:jc w:val="both"/>
              <w:rPr>
                <w:rFonts w:ascii="Arial Narrow" w:hAnsi="Arial Narrow"/>
                <w:sz w:val="18"/>
                <w:szCs w:val="18"/>
              </w:rPr>
            </w:pPr>
            <w:r>
              <w:rPr>
                <w:rFonts w:ascii="Arial Narrow" w:hAnsi="Arial Narrow"/>
                <w:sz w:val="18"/>
                <w:szCs w:val="18"/>
              </w:rPr>
              <w:t>Que la comisión integrada por la Gerencia Regional de Infraestructura que lo preside, Sub Gerencia de Operaciones, Sub Gerencia de Estudios y Abastecimientos, sean los encargados  de pres</w:t>
            </w:r>
            <w:r w:rsidR="009A47ED">
              <w:rPr>
                <w:rFonts w:ascii="Arial Narrow" w:hAnsi="Arial Narrow"/>
                <w:sz w:val="18"/>
                <w:szCs w:val="18"/>
              </w:rPr>
              <w:t>entar una estructura de costos p</w:t>
            </w:r>
            <w:r>
              <w:rPr>
                <w:rFonts w:ascii="Arial Narrow" w:hAnsi="Arial Narrow"/>
                <w:sz w:val="18"/>
                <w:szCs w:val="18"/>
              </w:rPr>
              <w:t xml:space="preserve">rovisional a </w:t>
            </w:r>
            <w:r>
              <w:rPr>
                <w:rFonts w:ascii="Arial Narrow" w:hAnsi="Arial Narrow"/>
                <w:sz w:val="18"/>
                <w:szCs w:val="18"/>
              </w:rPr>
              <w:tab/>
              <w:t xml:space="preserve">15 días y una con mayor detalle como máximo en 30 días calendarios a partir de la fecha de </w:t>
            </w:r>
            <w:r>
              <w:rPr>
                <w:rFonts w:ascii="Arial Narrow" w:hAnsi="Arial Narrow"/>
                <w:sz w:val="18"/>
                <w:szCs w:val="18"/>
              </w:rPr>
              <w:tab/>
              <w:t>la presente sesión :</w:t>
            </w:r>
          </w:p>
          <w:p w:rsidR="00EE2FBA" w:rsidRDefault="00EE2FBA" w:rsidP="003E33A1">
            <w:pPr>
              <w:pStyle w:val="Prrafodelista"/>
              <w:ind w:left="0" w:right="31"/>
              <w:jc w:val="both"/>
              <w:rPr>
                <w:rFonts w:ascii="Arial Narrow" w:hAnsi="Arial Narrow"/>
                <w:sz w:val="18"/>
                <w:szCs w:val="18"/>
                <w:lang w:eastAsia="zh-CN"/>
              </w:rPr>
            </w:pPr>
            <w:r>
              <w:rPr>
                <w:rFonts w:ascii="Arial Narrow" w:hAnsi="Arial Narrow"/>
                <w:sz w:val="18"/>
                <w:szCs w:val="18"/>
                <w:lang w:eastAsia="zh-CN"/>
              </w:rPr>
              <w:t>Los asesores tienen que intervenir como apoyo a esta comisión.</w:t>
            </w:r>
          </w:p>
          <w:p w:rsidR="00EE2FBA" w:rsidRDefault="00EE2FBA" w:rsidP="003E33A1">
            <w:pPr>
              <w:pStyle w:val="Prrafodelista"/>
              <w:ind w:left="0" w:right="31"/>
              <w:jc w:val="both"/>
              <w:rPr>
                <w:rFonts w:ascii="Arial Narrow" w:hAnsi="Arial Narrow"/>
                <w:sz w:val="18"/>
                <w:szCs w:val="18"/>
                <w:lang w:eastAsia="zh-CN"/>
              </w:rPr>
            </w:pPr>
            <w:r>
              <w:rPr>
                <w:rFonts w:ascii="Arial Narrow" w:hAnsi="Arial Narrow"/>
                <w:sz w:val="18"/>
                <w:szCs w:val="18"/>
                <w:lang w:eastAsia="zh-CN"/>
              </w:rPr>
              <w:t>El equipo tendrá en cuenta en forma referencial, lo siguiente:</w:t>
            </w:r>
          </w:p>
          <w:p w:rsidR="00EE2FBA" w:rsidRDefault="00EE2FBA" w:rsidP="003E33A1">
            <w:pPr>
              <w:pStyle w:val="Prrafodelista"/>
              <w:ind w:left="0" w:right="31"/>
              <w:jc w:val="both"/>
              <w:rPr>
                <w:rFonts w:ascii="Arial Narrow" w:hAnsi="Arial Narrow"/>
                <w:sz w:val="18"/>
                <w:szCs w:val="18"/>
                <w:lang w:eastAsia="zh-CN"/>
              </w:rPr>
            </w:pPr>
            <w:r>
              <w:rPr>
                <w:rFonts w:ascii="Arial Narrow" w:hAnsi="Arial Narrow"/>
                <w:sz w:val="18"/>
                <w:szCs w:val="18"/>
                <w:lang w:eastAsia="zh-CN"/>
              </w:rPr>
              <w:t>a) Presupuestos de los  pr</w:t>
            </w:r>
            <w:r w:rsidR="009A47ED">
              <w:rPr>
                <w:rFonts w:ascii="Arial Narrow" w:hAnsi="Arial Narrow"/>
                <w:sz w:val="18"/>
                <w:szCs w:val="18"/>
                <w:lang w:eastAsia="zh-CN"/>
              </w:rPr>
              <w:t>oyectos en cierre y liquidación.</w:t>
            </w:r>
          </w:p>
          <w:p w:rsidR="00EE2FBA" w:rsidRDefault="00EE2FBA" w:rsidP="003E33A1">
            <w:pPr>
              <w:pStyle w:val="Prrafodelista"/>
              <w:ind w:left="0" w:right="31"/>
              <w:jc w:val="both"/>
              <w:rPr>
                <w:rFonts w:ascii="Arial Narrow" w:hAnsi="Arial Narrow"/>
                <w:sz w:val="18"/>
                <w:szCs w:val="18"/>
                <w:lang w:eastAsia="zh-CN"/>
              </w:rPr>
            </w:pPr>
            <w:r>
              <w:rPr>
                <w:rFonts w:ascii="Arial Narrow" w:hAnsi="Arial Narrow"/>
                <w:sz w:val="18"/>
                <w:szCs w:val="18"/>
                <w:lang w:eastAsia="zh-CN"/>
              </w:rPr>
              <w:t>b) Ten</w:t>
            </w:r>
            <w:r w:rsidR="009A47ED">
              <w:rPr>
                <w:rFonts w:ascii="Arial Narrow" w:hAnsi="Arial Narrow"/>
                <w:sz w:val="18"/>
                <w:szCs w:val="18"/>
                <w:lang w:eastAsia="zh-CN"/>
              </w:rPr>
              <w:t>er en cuenta fuentes como: Proví</w:t>
            </w:r>
            <w:r>
              <w:rPr>
                <w:rFonts w:ascii="Arial Narrow" w:hAnsi="Arial Narrow"/>
                <w:sz w:val="18"/>
                <w:szCs w:val="18"/>
                <w:lang w:eastAsia="zh-CN"/>
              </w:rPr>
              <w:t>as, exper</w:t>
            </w:r>
            <w:r w:rsidR="009A47ED">
              <w:rPr>
                <w:rFonts w:ascii="Arial Narrow" w:hAnsi="Arial Narrow"/>
                <w:sz w:val="18"/>
                <w:szCs w:val="18"/>
                <w:lang w:eastAsia="zh-CN"/>
              </w:rPr>
              <w:t>iencias de proyectos ejecutados</w:t>
            </w:r>
            <w:r>
              <w:rPr>
                <w:rFonts w:ascii="Arial Narrow" w:hAnsi="Arial Narrow"/>
                <w:sz w:val="18"/>
                <w:szCs w:val="18"/>
                <w:lang w:eastAsia="zh-CN"/>
              </w:rPr>
              <w:t>,</w:t>
            </w:r>
            <w:r w:rsidR="009A47ED">
              <w:rPr>
                <w:rFonts w:ascii="Arial Narrow" w:hAnsi="Arial Narrow"/>
                <w:sz w:val="18"/>
                <w:szCs w:val="18"/>
                <w:lang w:eastAsia="zh-CN"/>
              </w:rPr>
              <w:t xml:space="preserve"> </w:t>
            </w:r>
            <w:r>
              <w:rPr>
                <w:rFonts w:ascii="Arial Narrow" w:hAnsi="Arial Narrow"/>
                <w:sz w:val="18"/>
                <w:szCs w:val="18"/>
                <w:lang w:eastAsia="zh-CN"/>
              </w:rPr>
              <w:t>etc.</w:t>
            </w:r>
          </w:p>
          <w:p w:rsidR="00EE2FBA" w:rsidRDefault="009A47ED" w:rsidP="003E33A1">
            <w:pPr>
              <w:pStyle w:val="Prrafodelista"/>
              <w:ind w:left="0" w:right="31"/>
              <w:jc w:val="both"/>
              <w:rPr>
                <w:rFonts w:ascii="Arial Narrow" w:hAnsi="Arial Narrow"/>
                <w:sz w:val="18"/>
                <w:szCs w:val="18"/>
                <w:lang w:eastAsia="zh-CN"/>
              </w:rPr>
            </w:pPr>
            <w:r>
              <w:rPr>
                <w:rFonts w:ascii="Arial Narrow" w:hAnsi="Arial Narrow"/>
                <w:sz w:val="18"/>
                <w:szCs w:val="18"/>
                <w:lang w:eastAsia="zh-CN"/>
              </w:rPr>
              <w:t>c) El análisis de mercado. A</w:t>
            </w:r>
            <w:r w:rsidR="00EE2FBA">
              <w:rPr>
                <w:rFonts w:ascii="Arial Narrow" w:hAnsi="Arial Narrow"/>
                <w:sz w:val="18"/>
                <w:szCs w:val="18"/>
                <w:lang w:eastAsia="zh-CN"/>
              </w:rPr>
              <w:t>demás las Gerencias Sub Regionales poseen base de datos por zona,</w:t>
            </w:r>
          </w:p>
          <w:p w:rsidR="00EE2FBA" w:rsidRDefault="00EE2FBA" w:rsidP="003E33A1">
            <w:pPr>
              <w:pStyle w:val="Prrafodelista"/>
              <w:ind w:left="0" w:right="31"/>
              <w:jc w:val="both"/>
              <w:rPr>
                <w:rFonts w:ascii="Arial Narrow" w:hAnsi="Arial Narrow"/>
                <w:sz w:val="18"/>
                <w:szCs w:val="18"/>
                <w:lang w:eastAsia="zh-CN"/>
              </w:rPr>
            </w:pPr>
            <w:r>
              <w:rPr>
                <w:rFonts w:ascii="Arial Narrow" w:hAnsi="Arial Narrow"/>
                <w:sz w:val="18"/>
                <w:szCs w:val="18"/>
                <w:lang w:eastAsia="zh-CN"/>
              </w:rPr>
              <w:t>d) Y otros que se crean convenientes.</w:t>
            </w:r>
          </w:p>
        </w:tc>
        <w:tc>
          <w:tcPr>
            <w:tcW w:w="1421" w:type="dxa"/>
            <w:tcBorders>
              <w:top w:val="nil"/>
              <w:left w:val="single" w:sz="2" w:space="0" w:color="000000"/>
              <w:bottom w:val="single" w:sz="2" w:space="0" w:color="000000"/>
              <w:right w:val="nil"/>
            </w:tcBorders>
            <w:tcMar>
              <w:top w:w="55" w:type="dxa"/>
              <w:left w:w="55" w:type="dxa"/>
              <w:bottom w:w="55" w:type="dxa"/>
              <w:right w:w="55" w:type="dxa"/>
            </w:tcMar>
            <w:hideMark/>
          </w:tcPr>
          <w:p w:rsidR="00EE2FBA" w:rsidRDefault="00EE2FBA" w:rsidP="003E33A1">
            <w:pPr>
              <w:pStyle w:val="TableContents"/>
              <w:jc w:val="center"/>
              <w:rPr>
                <w:rFonts w:ascii="Arial Narrow" w:hAnsi="Arial Narrow"/>
                <w:sz w:val="18"/>
                <w:szCs w:val="18"/>
              </w:rPr>
            </w:pPr>
            <w:r>
              <w:rPr>
                <w:rFonts w:ascii="Arial Narrow" w:hAnsi="Arial Narrow"/>
                <w:sz w:val="18"/>
                <w:szCs w:val="18"/>
              </w:rPr>
              <w:t>SI</w:t>
            </w:r>
          </w:p>
        </w:tc>
        <w:tc>
          <w:tcPr>
            <w:tcW w:w="340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E2FBA" w:rsidRDefault="00EE2FBA" w:rsidP="003E33A1">
            <w:pPr>
              <w:pStyle w:val="TableContents"/>
              <w:ind w:right="37"/>
              <w:jc w:val="both"/>
            </w:pPr>
            <w:r>
              <w:rPr>
                <w:rFonts w:ascii="Arial Narrow" w:hAnsi="Arial Narrow"/>
                <w:sz w:val="18"/>
                <w:szCs w:val="18"/>
              </w:rPr>
              <w:t>Con fecha 28-02-2012, se recepcionó el Informe Nº 02-2011-GR.CAJ-GRI/AGMC,  con SISGEDO Nº  573723.</w:t>
            </w:r>
          </w:p>
          <w:p w:rsidR="00EE2FBA" w:rsidRDefault="00EE2FBA" w:rsidP="003E33A1">
            <w:pPr>
              <w:pStyle w:val="TableContents"/>
              <w:ind w:right="37"/>
              <w:jc w:val="both"/>
            </w:pPr>
            <w:r>
              <w:rPr>
                <w:rFonts w:ascii="Arial Narrow" w:hAnsi="Arial Narrow"/>
                <w:sz w:val="18"/>
                <w:szCs w:val="18"/>
              </w:rPr>
              <w:t>Los TDRs</w:t>
            </w:r>
            <w:r w:rsidR="009A47ED">
              <w:rPr>
                <w:rFonts w:ascii="Arial Narrow" w:hAnsi="Arial Narrow"/>
                <w:sz w:val="18"/>
                <w:szCs w:val="18"/>
              </w:rPr>
              <w:t xml:space="preserve"> para esta consultoría</w:t>
            </w:r>
            <w:r>
              <w:rPr>
                <w:rFonts w:ascii="Arial Narrow" w:hAnsi="Arial Narrow"/>
                <w:sz w:val="18"/>
                <w:szCs w:val="18"/>
              </w:rPr>
              <w:t>, han sido elaborados por la Sub Gerencia de Estudios, la GRI y la DRA, con fecha 27-02-2012.</w:t>
            </w:r>
          </w:p>
          <w:p w:rsidR="00EE2FBA" w:rsidRDefault="00EE2FBA" w:rsidP="003E33A1">
            <w:pPr>
              <w:pStyle w:val="TableContents"/>
              <w:ind w:right="37"/>
              <w:jc w:val="both"/>
            </w:pPr>
            <w:r>
              <w:rPr>
                <w:rFonts w:ascii="Arial Narrow" w:hAnsi="Arial Narrow"/>
                <w:sz w:val="18"/>
                <w:szCs w:val="18"/>
              </w:rPr>
              <w:t>Informa que el personal profesional especi</w:t>
            </w:r>
            <w:r w:rsidR="009A47ED">
              <w:rPr>
                <w:rFonts w:ascii="Arial Narrow" w:hAnsi="Arial Narrow"/>
                <w:sz w:val="18"/>
                <w:szCs w:val="18"/>
              </w:rPr>
              <w:t>alista para la elaboración del C</w:t>
            </w:r>
            <w:r>
              <w:rPr>
                <w:rFonts w:ascii="Arial Narrow" w:hAnsi="Arial Narrow"/>
                <w:sz w:val="18"/>
                <w:szCs w:val="18"/>
              </w:rPr>
              <w:t>entro de Costos es:</w:t>
            </w:r>
          </w:p>
          <w:p w:rsidR="00EE2FBA" w:rsidRDefault="00EE2FBA" w:rsidP="003E33A1">
            <w:pPr>
              <w:pStyle w:val="TableContents"/>
              <w:ind w:right="37"/>
              <w:jc w:val="both"/>
            </w:pPr>
            <w:r>
              <w:rPr>
                <w:rFonts w:ascii="Arial Narrow" w:hAnsi="Arial Narrow"/>
                <w:sz w:val="18"/>
                <w:szCs w:val="18"/>
              </w:rPr>
              <w:t>Un Jefe de Estudios, Un Ing. de Sistemas, un Economista o Administrador de Empresas.</w:t>
            </w:r>
          </w:p>
          <w:p w:rsidR="00EE2FBA" w:rsidRDefault="009A47ED" w:rsidP="003E33A1">
            <w:pPr>
              <w:pStyle w:val="TableContents"/>
              <w:ind w:right="37"/>
              <w:jc w:val="both"/>
            </w:pPr>
            <w:r>
              <w:rPr>
                <w:rFonts w:ascii="Arial Narrow" w:hAnsi="Arial Narrow"/>
                <w:sz w:val="18"/>
                <w:szCs w:val="18"/>
              </w:rPr>
              <w:t>Tiempo de Ejecución: 75 días c</w:t>
            </w:r>
            <w:r w:rsidR="00EE2FBA">
              <w:rPr>
                <w:rFonts w:ascii="Arial Narrow" w:hAnsi="Arial Narrow"/>
                <w:sz w:val="18"/>
                <w:szCs w:val="18"/>
              </w:rPr>
              <w:t>alendario</w:t>
            </w:r>
            <w:r>
              <w:rPr>
                <w:rFonts w:ascii="Arial Narrow" w:hAnsi="Arial Narrow"/>
                <w:sz w:val="18"/>
                <w:szCs w:val="18"/>
              </w:rPr>
              <w:t xml:space="preserve">. </w:t>
            </w:r>
            <w:r w:rsidR="00EE2FBA">
              <w:rPr>
                <w:rFonts w:ascii="Arial Narrow" w:hAnsi="Arial Narrow"/>
                <w:sz w:val="18"/>
                <w:szCs w:val="18"/>
              </w:rPr>
              <w:t>Metas y Criterios Técnicos: metas en 2 etapas, criterios conforme a la Normatividad Vigente.</w:t>
            </w:r>
          </w:p>
          <w:p w:rsidR="00EE2FBA" w:rsidRDefault="00EE2FBA" w:rsidP="003E33A1">
            <w:pPr>
              <w:pStyle w:val="TableContents"/>
              <w:ind w:right="37"/>
              <w:jc w:val="both"/>
            </w:pPr>
            <w:r>
              <w:rPr>
                <w:rFonts w:ascii="Arial Narrow" w:hAnsi="Arial Narrow"/>
                <w:sz w:val="18"/>
                <w:szCs w:val="18"/>
              </w:rPr>
              <w:t>Actualmente los TDRs se encuentran en la DRA para el estudio de Mercado.</w:t>
            </w:r>
          </w:p>
          <w:p w:rsidR="00EE2FBA" w:rsidRDefault="00EE2FBA" w:rsidP="003E33A1">
            <w:pPr>
              <w:pStyle w:val="TableContents"/>
              <w:ind w:right="37"/>
              <w:jc w:val="both"/>
            </w:pPr>
          </w:p>
        </w:tc>
      </w:tr>
      <w:tr w:rsidR="00EE2FBA" w:rsidTr="003E33A1">
        <w:tc>
          <w:tcPr>
            <w:tcW w:w="960" w:type="dxa"/>
            <w:tcBorders>
              <w:top w:val="nil"/>
              <w:left w:val="single" w:sz="2" w:space="0" w:color="000000"/>
              <w:bottom w:val="single" w:sz="2" w:space="0" w:color="000000"/>
              <w:right w:val="nil"/>
            </w:tcBorders>
            <w:tcMar>
              <w:top w:w="55" w:type="dxa"/>
              <w:left w:w="55" w:type="dxa"/>
              <w:bottom w:w="55" w:type="dxa"/>
              <w:right w:w="55" w:type="dxa"/>
            </w:tcMar>
          </w:tcPr>
          <w:p w:rsidR="00EE2FBA" w:rsidRDefault="00EE2FBA">
            <w:pPr>
              <w:pStyle w:val="TableContents"/>
              <w:rPr>
                <w:rFonts w:ascii="Arial Narrow" w:hAnsi="Arial Narrow"/>
                <w:sz w:val="18"/>
                <w:szCs w:val="18"/>
              </w:rPr>
            </w:pPr>
            <w:r>
              <w:rPr>
                <w:rFonts w:ascii="Arial Narrow" w:hAnsi="Arial Narrow"/>
                <w:sz w:val="18"/>
                <w:szCs w:val="18"/>
              </w:rPr>
              <w:t>3</w:t>
            </w:r>
          </w:p>
          <w:p w:rsidR="00EE2FBA" w:rsidRDefault="00EE2FBA">
            <w:pPr>
              <w:pStyle w:val="TableContents"/>
              <w:rPr>
                <w:rFonts w:ascii="Arial Narrow" w:hAnsi="Arial Narrow"/>
                <w:sz w:val="18"/>
                <w:szCs w:val="18"/>
              </w:rPr>
            </w:pPr>
          </w:p>
          <w:p w:rsidR="00EE2FBA" w:rsidRDefault="00EE2FBA">
            <w:pPr>
              <w:pStyle w:val="TableContents"/>
              <w:rPr>
                <w:rFonts w:ascii="Arial Narrow" w:hAnsi="Arial Narrow"/>
                <w:sz w:val="18"/>
                <w:szCs w:val="18"/>
              </w:rPr>
            </w:pPr>
          </w:p>
          <w:p w:rsidR="00EE2FBA" w:rsidRDefault="00EE2FBA">
            <w:pPr>
              <w:pStyle w:val="TableContents"/>
              <w:rPr>
                <w:rFonts w:ascii="Arial Narrow" w:hAnsi="Arial Narrow"/>
                <w:sz w:val="18"/>
                <w:szCs w:val="18"/>
              </w:rPr>
            </w:pPr>
          </w:p>
          <w:p w:rsidR="00EE2FBA" w:rsidRDefault="00EE2FBA">
            <w:pPr>
              <w:pStyle w:val="TableContents"/>
              <w:rPr>
                <w:rFonts w:ascii="Arial Narrow" w:hAnsi="Arial Narrow"/>
                <w:sz w:val="18"/>
                <w:szCs w:val="18"/>
              </w:rPr>
            </w:pPr>
          </w:p>
          <w:p w:rsidR="00EE2FBA" w:rsidRDefault="00EE2FBA">
            <w:pPr>
              <w:pStyle w:val="TableContents"/>
              <w:rPr>
                <w:rFonts w:ascii="Arial Narrow" w:hAnsi="Arial Narrow"/>
                <w:sz w:val="18"/>
                <w:szCs w:val="18"/>
              </w:rPr>
            </w:pPr>
          </w:p>
          <w:p w:rsidR="00EE2FBA" w:rsidRDefault="00EE2FBA">
            <w:pPr>
              <w:pStyle w:val="TableContents"/>
              <w:rPr>
                <w:rFonts w:ascii="Arial Narrow" w:hAnsi="Arial Narrow"/>
                <w:sz w:val="18"/>
                <w:szCs w:val="18"/>
              </w:rPr>
            </w:pPr>
          </w:p>
          <w:p w:rsidR="00EE2FBA" w:rsidRDefault="00EE2FBA">
            <w:pPr>
              <w:pStyle w:val="TableContents"/>
              <w:rPr>
                <w:rFonts w:ascii="Arial Narrow" w:hAnsi="Arial Narrow"/>
                <w:sz w:val="18"/>
                <w:szCs w:val="18"/>
              </w:rPr>
            </w:pPr>
          </w:p>
        </w:tc>
        <w:tc>
          <w:tcPr>
            <w:tcW w:w="3859" w:type="dxa"/>
            <w:tcBorders>
              <w:top w:val="nil"/>
              <w:left w:val="single" w:sz="2" w:space="0" w:color="000000"/>
              <w:bottom w:val="single" w:sz="2" w:space="0" w:color="000000"/>
              <w:right w:val="nil"/>
            </w:tcBorders>
            <w:tcMar>
              <w:top w:w="55" w:type="dxa"/>
              <w:left w:w="55" w:type="dxa"/>
              <w:bottom w:w="55" w:type="dxa"/>
              <w:right w:w="55" w:type="dxa"/>
            </w:tcMar>
            <w:hideMark/>
          </w:tcPr>
          <w:p w:rsidR="00EE2FBA" w:rsidRDefault="00EE2FBA" w:rsidP="003E33A1">
            <w:pPr>
              <w:pStyle w:val="Prrafodelista"/>
              <w:ind w:left="0" w:right="31"/>
              <w:jc w:val="both"/>
              <w:rPr>
                <w:rFonts w:ascii="Arial Narrow" w:hAnsi="Arial Narrow"/>
                <w:sz w:val="18"/>
                <w:szCs w:val="18"/>
                <w:lang w:eastAsia="zh-CN"/>
              </w:rPr>
            </w:pPr>
            <w:r>
              <w:rPr>
                <w:rFonts w:ascii="Arial Narrow" w:hAnsi="Arial Narrow"/>
                <w:sz w:val="18"/>
                <w:szCs w:val="18"/>
                <w:lang w:eastAsia="zh-CN"/>
              </w:rPr>
              <w:t xml:space="preserve">Tener en cuenta en los formatos de seguimiento de proyectos </w:t>
            </w:r>
            <w:r>
              <w:rPr>
                <w:rFonts w:ascii="Arial Narrow" w:hAnsi="Arial Narrow"/>
                <w:sz w:val="18"/>
                <w:szCs w:val="18"/>
                <w:lang w:eastAsia="zh-CN"/>
              </w:rPr>
              <w:tab/>
              <w:t>del CRI:</w:t>
            </w:r>
          </w:p>
          <w:p w:rsidR="00EE2FBA" w:rsidRDefault="00EE2FBA" w:rsidP="003E33A1">
            <w:pPr>
              <w:pStyle w:val="Prrafodelista"/>
              <w:numPr>
                <w:ilvl w:val="0"/>
                <w:numId w:val="1"/>
              </w:numPr>
              <w:tabs>
                <w:tab w:val="left" w:pos="181"/>
              </w:tabs>
              <w:ind w:left="0" w:right="31" w:firstLine="0"/>
              <w:jc w:val="both"/>
              <w:rPr>
                <w:rFonts w:ascii="Arial Narrow" w:hAnsi="Arial Narrow"/>
                <w:sz w:val="18"/>
                <w:szCs w:val="18"/>
                <w:lang w:eastAsia="zh-CN"/>
              </w:rPr>
            </w:pPr>
            <w:r>
              <w:rPr>
                <w:rFonts w:ascii="Arial Narrow" w:hAnsi="Arial Narrow"/>
                <w:sz w:val="18"/>
                <w:szCs w:val="18"/>
                <w:lang w:eastAsia="zh-CN"/>
              </w:rPr>
              <w:t xml:space="preserve">Reprogramar las fechas de las actividades </w:t>
            </w:r>
            <w:r w:rsidR="003E33A1">
              <w:rPr>
                <w:rFonts w:ascii="Arial Narrow" w:hAnsi="Arial Narrow"/>
                <w:sz w:val="18"/>
                <w:szCs w:val="18"/>
                <w:lang w:eastAsia="zh-CN"/>
              </w:rPr>
              <w:t>retrasadas</w:t>
            </w:r>
            <w:r>
              <w:rPr>
                <w:rFonts w:ascii="Arial Narrow" w:hAnsi="Arial Narrow"/>
                <w:sz w:val="18"/>
                <w:szCs w:val="18"/>
                <w:lang w:eastAsia="zh-CN"/>
              </w:rPr>
              <w:t xml:space="preserve"> y pendientes con plazos reales.</w:t>
            </w:r>
            <w:r>
              <w:rPr>
                <w:rFonts w:ascii="Arial Narrow" w:hAnsi="Arial Narrow"/>
                <w:sz w:val="18"/>
                <w:szCs w:val="18"/>
                <w:lang w:eastAsia="zh-CN"/>
              </w:rPr>
              <w:t xml:space="preserve"> </w:t>
            </w:r>
          </w:p>
          <w:p w:rsidR="00EE2FBA" w:rsidRDefault="00EE2FBA" w:rsidP="003E33A1">
            <w:pPr>
              <w:pStyle w:val="Prrafodelista"/>
              <w:numPr>
                <w:ilvl w:val="0"/>
                <w:numId w:val="1"/>
              </w:numPr>
              <w:tabs>
                <w:tab w:val="left" w:pos="181"/>
              </w:tabs>
              <w:ind w:left="0" w:right="31" w:firstLine="0"/>
              <w:jc w:val="both"/>
              <w:rPr>
                <w:rFonts w:ascii="Arial Narrow" w:hAnsi="Arial Narrow"/>
                <w:sz w:val="18"/>
                <w:szCs w:val="18"/>
                <w:lang w:eastAsia="zh-CN"/>
              </w:rPr>
            </w:pPr>
            <w:r>
              <w:rPr>
                <w:rFonts w:ascii="Arial Narrow" w:hAnsi="Arial Narrow"/>
                <w:sz w:val="18"/>
                <w:szCs w:val="18"/>
                <w:lang w:eastAsia="zh-CN"/>
              </w:rPr>
              <w:t xml:space="preserve">Las UFs, deben hacer un seguimiento permanente </w:t>
            </w:r>
            <w:r>
              <w:rPr>
                <w:rFonts w:ascii="Arial Narrow" w:hAnsi="Arial Narrow"/>
                <w:sz w:val="18"/>
                <w:szCs w:val="18"/>
                <w:lang w:eastAsia="zh-CN"/>
              </w:rPr>
              <w:t>del estado de sus proyectos. C</w:t>
            </w:r>
            <w:r>
              <w:rPr>
                <w:rFonts w:ascii="Arial Narrow" w:hAnsi="Arial Narrow"/>
                <w:sz w:val="18"/>
                <w:szCs w:val="18"/>
                <w:lang w:eastAsia="zh-CN"/>
              </w:rPr>
              <w:t>oordinar con oportunidad y efectividad.</w:t>
            </w:r>
          </w:p>
          <w:p w:rsidR="00EE2FBA" w:rsidRDefault="009A47ED" w:rsidP="003E33A1">
            <w:pPr>
              <w:pStyle w:val="Prrafodelista"/>
              <w:tabs>
                <w:tab w:val="left" w:pos="181"/>
              </w:tabs>
              <w:ind w:left="0" w:right="31"/>
              <w:jc w:val="both"/>
              <w:rPr>
                <w:rFonts w:ascii="Arial Narrow" w:hAnsi="Arial Narrow"/>
                <w:sz w:val="18"/>
                <w:szCs w:val="18"/>
                <w:lang w:eastAsia="zh-CN"/>
              </w:rPr>
            </w:pPr>
            <w:r>
              <w:rPr>
                <w:rFonts w:ascii="Arial Narrow" w:hAnsi="Arial Narrow"/>
                <w:sz w:val="18"/>
                <w:szCs w:val="18"/>
                <w:lang w:eastAsia="zh-CN"/>
              </w:rPr>
              <w:t xml:space="preserve">c) </w:t>
            </w:r>
            <w:r w:rsidR="00EE2FBA">
              <w:rPr>
                <w:rFonts w:ascii="Arial Narrow" w:hAnsi="Arial Narrow"/>
                <w:sz w:val="18"/>
                <w:szCs w:val="18"/>
                <w:lang w:eastAsia="zh-CN"/>
              </w:rPr>
              <w:t>Respecto a los proyectos con financiamiento de FONIPREL cuyo monto asignado no ha sido ejecutado, coordinar con la Sub Gerencia de Presupuesto a fin de de</w:t>
            </w:r>
            <w:r w:rsidR="00EE2FBA">
              <w:rPr>
                <w:rFonts w:ascii="Arial Narrow" w:hAnsi="Arial Narrow"/>
                <w:sz w:val="18"/>
                <w:szCs w:val="18"/>
                <w:lang w:eastAsia="zh-CN"/>
              </w:rPr>
              <w:t>volver los montos no utilizados</w:t>
            </w:r>
            <w:r w:rsidR="00EE2FBA">
              <w:rPr>
                <w:rFonts w:ascii="Arial Narrow" w:hAnsi="Arial Narrow"/>
                <w:sz w:val="18"/>
                <w:szCs w:val="18"/>
                <w:lang w:eastAsia="zh-CN"/>
              </w:rPr>
              <w:t>. Además cumplir con enviar los informes de avance de gasto y físico de los proyectos que poseen este financiamiento en los formatos de FONIPREL.</w:t>
            </w:r>
          </w:p>
          <w:p w:rsidR="00AF554F" w:rsidRDefault="00EE2FBA" w:rsidP="003E33A1">
            <w:pPr>
              <w:pStyle w:val="Prrafodelista"/>
              <w:tabs>
                <w:tab w:val="left" w:pos="181"/>
              </w:tabs>
              <w:ind w:left="0" w:right="31"/>
              <w:jc w:val="both"/>
              <w:rPr>
                <w:rFonts w:ascii="Arial Narrow" w:hAnsi="Arial Narrow"/>
                <w:sz w:val="18"/>
                <w:szCs w:val="18"/>
                <w:lang w:eastAsia="zh-CN"/>
              </w:rPr>
            </w:pPr>
            <w:r>
              <w:rPr>
                <w:rFonts w:ascii="Arial Narrow" w:hAnsi="Arial Narrow"/>
                <w:sz w:val="18"/>
                <w:szCs w:val="18"/>
                <w:lang w:eastAsia="zh-CN"/>
              </w:rPr>
              <w:t xml:space="preserve">d) En el caso de la Gerencia de RENAMA, en forma urgente deben coordinar con SERNANP y proponer un convenio a fin de facilitar los trámites de TDRs y </w:t>
            </w:r>
            <w:r>
              <w:rPr>
                <w:rFonts w:ascii="Arial Narrow" w:hAnsi="Arial Narrow"/>
                <w:sz w:val="18"/>
                <w:szCs w:val="18"/>
                <w:lang w:eastAsia="zh-CN"/>
              </w:rPr>
              <w:lastRenderedPageBreak/>
              <w:t xml:space="preserve">posibles perfiles sin mayor </w:t>
            </w:r>
            <w:r w:rsidR="00AF554F">
              <w:rPr>
                <w:rFonts w:ascii="Arial Narrow" w:hAnsi="Arial Narrow"/>
                <w:sz w:val="18"/>
                <w:szCs w:val="18"/>
                <w:lang w:eastAsia="zh-CN"/>
              </w:rPr>
              <w:t>retraso</w:t>
            </w:r>
            <w:r>
              <w:rPr>
                <w:rFonts w:ascii="Arial Narrow" w:hAnsi="Arial Narrow"/>
                <w:sz w:val="18"/>
                <w:szCs w:val="18"/>
                <w:lang w:eastAsia="zh-CN"/>
              </w:rPr>
              <w:t>.</w:t>
            </w:r>
            <w:r w:rsidR="00AF554F">
              <w:rPr>
                <w:rFonts w:ascii="Arial Narrow" w:hAnsi="Arial Narrow"/>
                <w:sz w:val="18"/>
                <w:szCs w:val="18"/>
                <w:lang w:eastAsia="zh-CN"/>
              </w:rPr>
              <w:t xml:space="preserve"> </w:t>
            </w:r>
          </w:p>
          <w:p w:rsidR="00EE2FBA" w:rsidRDefault="00EE2FBA" w:rsidP="003E33A1">
            <w:pPr>
              <w:pStyle w:val="Prrafodelista"/>
              <w:tabs>
                <w:tab w:val="left" w:pos="181"/>
              </w:tabs>
              <w:ind w:left="0" w:right="31"/>
              <w:jc w:val="both"/>
              <w:rPr>
                <w:rFonts w:ascii="Arial Narrow" w:hAnsi="Arial Narrow"/>
                <w:sz w:val="18"/>
                <w:szCs w:val="18"/>
                <w:lang w:eastAsia="zh-CN"/>
              </w:rPr>
            </w:pPr>
            <w:r>
              <w:rPr>
                <w:rFonts w:ascii="Arial Narrow" w:hAnsi="Arial Narrow"/>
                <w:sz w:val="18"/>
                <w:szCs w:val="18"/>
                <w:lang w:eastAsia="zh-CN"/>
              </w:rPr>
              <w:t xml:space="preserve">En el caso de Programas de Inversión Pública </w:t>
            </w:r>
            <w:r w:rsidR="00AF554F">
              <w:rPr>
                <w:rFonts w:ascii="Arial Narrow" w:hAnsi="Arial Narrow"/>
                <w:sz w:val="18"/>
                <w:szCs w:val="18"/>
                <w:lang w:eastAsia="zh-CN"/>
              </w:rPr>
              <w:t>estos</w:t>
            </w:r>
            <w:r>
              <w:rPr>
                <w:rFonts w:ascii="Arial Narrow" w:hAnsi="Arial Narrow"/>
                <w:sz w:val="18"/>
                <w:szCs w:val="18"/>
                <w:lang w:eastAsia="zh-CN"/>
              </w:rPr>
              <w:t xml:space="preserve"> deben ser revisados por las OPI del MINAM </w:t>
            </w:r>
            <w:r w:rsidR="00AF554F">
              <w:rPr>
                <w:rFonts w:ascii="Arial Narrow" w:hAnsi="Arial Narrow"/>
                <w:sz w:val="18"/>
                <w:szCs w:val="18"/>
                <w:lang w:eastAsia="zh-CN"/>
              </w:rPr>
              <w:t>o</w:t>
            </w:r>
            <w:r>
              <w:rPr>
                <w:rFonts w:ascii="Arial Narrow" w:hAnsi="Arial Narrow"/>
                <w:sz w:val="18"/>
                <w:szCs w:val="18"/>
                <w:lang w:eastAsia="zh-CN"/>
              </w:rPr>
              <w:t xml:space="preserve"> MINAG ya que les corresponde si es que estarían financiadas por endeudamiento externo.</w:t>
            </w:r>
          </w:p>
          <w:p w:rsidR="00EE2FBA" w:rsidRDefault="00EE2FBA" w:rsidP="003E33A1">
            <w:pPr>
              <w:pStyle w:val="Prrafodelista"/>
              <w:tabs>
                <w:tab w:val="left" w:pos="181"/>
              </w:tabs>
              <w:ind w:left="0" w:right="31"/>
              <w:jc w:val="both"/>
              <w:rPr>
                <w:rFonts w:ascii="Arial Narrow" w:hAnsi="Arial Narrow"/>
                <w:sz w:val="18"/>
                <w:szCs w:val="18"/>
                <w:lang w:eastAsia="zh-CN"/>
              </w:rPr>
            </w:pPr>
            <w:r>
              <w:rPr>
                <w:rFonts w:ascii="Arial Narrow" w:hAnsi="Arial Narrow"/>
                <w:sz w:val="18"/>
                <w:szCs w:val="18"/>
                <w:lang w:eastAsia="zh-CN"/>
              </w:rPr>
              <w:t>e) Para los casos de los proyectos de la Gerencia de Desarrollo Social y PROREGION, se acuerda: las UF deben realizar un seguimiento a los estudios de los hospitales en forma urgente, coordinar con DISA oportunamente y minimizar procesos.</w:t>
            </w:r>
          </w:p>
        </w:tc>
        <w:tc>
          <w:tcPr>
            <w:tcW w:w="1421" w:type="dxa"/>
            <w:tcBorders>
              <w:top w:val="nil"/>
              <w:left w:val="single" w:sz="2" w:space="0" w:color="000000"/>
              <w:bottom w:val="single" w:sz="2" w:space="0" w:color="000000"/>
              <w:right w:val="nil"/>
            </w:tcBorders>
            <w:tcMar>
              <w:top w:w="55" w:type="dxa"/>
              <w:left w:w="55" w:type="dxa"/>
              <w:bottom w:w="55" w:type="dxa"/>
              <w:right w:w="55" w:type="dxa"/>
            </w:tcMar>
            <w:hideMark/>
          </w:tcPr>
          <w:p w:rsidR="00EE2FBA" w:rsidRDefault="00EE2FBA">
            <w:pPr>
              <w:pStyle w:val="TableContents"/>
              <w:rPr>
                <w:rFonts w:ascii="Arial Narrow" w:hAnsi="Arial Narrow"/>
                <w:sz w:val="18"/>
                <w:szCs w:val="18"/>
              </w:rPr>
            </w:pPr>
            <w:r>
              <w:rPr>
                <w:rFonts w:ascii="Arial Narrow" w:hAnsi="Arial Narrow"/>
                <w:sz w:val="18"/>
                <w:szCs w:val="18"/>
              </w:rPr>
              <w:lastRenderedPageBreak/>
              <w:t>SI - parcialmente</w:t>
            </w:r>
          </w:p>
        </w:tc>
        <w:tc>
          <w:tcPr>
            <w:tcW w:w="34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E2FBA" w:rsidRDefault="00EE2FBA" w:rsidP="003E33A1">
            <w:pPr>
              <w:pStyle w:val="TableContents"/>
              <w:ind w:right="37"/>
              <w:jc w:val="both"/>
              <w:rPr>
                <w:rFonts w:ascii="Arial Narrow" w:hAnsi="Arial Narrow"/>
                <w:sz w:val="18"/>
                <w:szCs w:val="18"/>
              </w:rPr>
            </w:pPr>
            <w:r>
              <w:rPr>
                <w:rFonts w:ascii="Arial Narrow" w:hAnsi="Arial Narrow"/>
                <w:sz w:val="18"/>
                <w:szCs w:val="18"/>
              </w:rPr>
              <w:t>a) y b) Las UF de las Gerencias de: Desarrollo Económico</w:t>
            </w:r>
            <w:r>
              <w:rPr>
                <w:rFonts w:ascii="Arial Narrow" w:hAnsi="Arial Narrow"/>
                <w:sz w:val="18"/>
                <w:szCs w:val="18"/>
              </w:rPr>
              <w:t>, Desarrollo Social y</w:t>
            </w:r>
            <w:r>
              <w:rPr>
                <w:rFonts w:ascii="Arial Narrow" w:hAnsi="Arial Narrow"/>
                <w:sz w:val="18"/>
                <w:szCs w:val="18"/>
              </w:rPr>
              <w:t xml:space="preserve"> RENAMA, han enviado </w:t>
            </w:r>
            <w:r>
              <w:rPr>
                <w:rFonts w:ascii="Arial Narrow" w:hAnsi="Arial Narrow"/>
                <w:sz w:val="18"/>
                <w:szCs w:val="18"/>
              </w:rPr>
              <w:t>la información solicitad</w:t>
            </w:r>
            <w:r>
              <w:rPr>
                <w:rFonts w:ascii="Arial Narrow" w:hAnsi="Arial Narrow"/>
                <w:sz w:val="18"/>
                <w:szCs w:val="18"/>
              </w:rPr>
              <w:t>a.</w:t>
            </w:r>
          </w:p>
          <w:p w:rsidR="00EE2FBA" w:rsidRDefault="00EE2FBA" w:rsidP="003E33A1">
            <w:pPr>
              <w:pStyle w:val="TableContents"/>
              <w:ind w:right="37"/>
              <w:jc w:val="both"/>
              <w:rPr>
                <w:rFonts w:ascii="Arial Narrow" w:hAnsi="Arial Narrow"/>
                <w:sz w:val="18"/>
                <w:szCs w:val="18"/>
              </w:rPr>
            </w:pPr>
            <w:r>
              <w:rPr>
                <w:rFonts w:ascii="Arial Narrow" w:hAnsi="Arial Narrow"/>
                <w:sz w:val="18"/>
                <w:szCs w:val="18"/>
              </w:rPr>
              <w:t xml:space="preserve">c) La Gerencia Sub Regional de Chota </w:t>
            </w:r>
            <w:r w:rsidR="009A47ED">
              <w:rPr>
                <w:rFonts w:ascii="Arial Narrow" w:hAnsi="Arial Narrow"/>
                <w:sz w:val="18"/>
                <w:szCs w:val="18"/>
              </w:rPr>
              <w:t>envió</w:t>
            </w:r>
            <w:r>
              <w:rPr>
                <w:rFonts w:ascii="Arial Narrow" w:hAnsi="Arial Narrow"/>
                <w:sz w:val="18"/>
                <w:szCs w:val="18"/>
              </w:rPr>
              <w:t xml:space="preserve"> la documentación correspondiente para que se realice la devolución de los fondos no gastados en el Proyecto Irrigación Chota, correspondientes a la Fuente de FONIPREL, la misma que con Oficio Nº  83-2012-GR.CAJ-GRPPAT-SGPINPU, con SISGEDO Nº 561432, se tramitó a la Dirección de Administración para que </w:t>
            </w:r>
            <w:r w:rsidR="009A47ED">
              <w:rPr>
                <w:rFonts w:ascii="Arial Narrow" w:hAnsi="Arial Narrow"/>
                <w:sz w:val="18"/>
                <w:szCs w:val="18"/>
              </w:rPr>
              <w:t>continúe</w:t>
            </w:r>
            <w:r>
              <w:rPr>
                <w:rFonts w:ascii="Arial Narrow" w:hAnsi="Arial Narrow"/>
                <w:sz w:val="18"/>
                <w:szCs w:val="18"/>
              </w:rPr>
              <w:t xml:space="preserve"> con el trámite correspondiente.</w:t>
            </w:r>
          </w:p>
          <w:p w:rsidR="003E33A1" w:rsidRDefault="00EE2FBA" w:rsidP="003E33A1">
            <w:pPr>
              <w:pStyle w:val="TableContents"/>
              <w:ind w:right="37"/>
              <w:jc w:val="both"/>
              <w:rPr>
                <w:rFonts w:ascii="Arial Narrow" w:hAnsi="Arial Narrow"/>
                <w:sz w:val="18"/>
                <w:szCs w:val="18"/>
              </w:rPr>
            </w:pPr>
            <w:r>
              <w:rPr>
                <w:rFonts w:ascii="Arial Narrow" w:hAnsi="Arial Narrow"/>
                <w:sz w:val="18"/>
                <w:szCs w:val="18"/>
              </w:rPr>
              <w:t xml:space="preserve">d) La Gerencia de RENAMA, </w:t>
            </w:r>
            <w:r w:rsidR="003E33A1">
              <w:rPr>
                <w:rFonts w:ascii="Arial Narrow" w:hAnsi="Arial Narrow"/>
                <w:sz w:val="18"/>
                <w:szCs w:val="18"/>
              </w:rPr>
              <w:t xml:space="preserve">según coordinaciones del Jefe de OPI en Lima se indicó que el convenio marco es suficiente. Pero que todos los PIP que involucran ANPs requieren ser canalizadas por la UF SERNANP y evaluadas </w:t>
            </w:r>
            <w:r w:rsidR="003E33A1">
              <w:rPr>
                <w:rFonts w:ascii="Arial Narrow" w:hAnsi="Arial Narrow"/>
                <w:sz w:val="18"/>
                <w:szCs w:val="18"/>
              </w:rPr>
              <w:lastRenderedPageBreak/>
              <w:t xml:space="preserve">por MINAM. Se comunicó a UF verbalmente. </w:t>
            </w:r>
          </w:p>
          <w:p w:rsidR="00EE2FBA" w:rsidRDefault="00EE2FBA" w:rsidP="003E33A1">
            <w:pPr>
              <w:pStyle w:val="TableContents"/>
              <w:ind w:right="37"/>
              <w:jc w:val="both"/>
              <w:rPr>
                <w:rFonts w:ascii="Arial Narrow" w:hAnsi="Arial Narrow"/>
                <w:sz w:val="18"/>
                <w:szCs w:val="18"/>
              </w:rPr>
            </w:pPr>
          </w:p>
          <w:p w:rsidR="00EE2FBA" w:rsidRDefault="00EE2FBA" w:rsidP="003E33A1">
            <w:pPr>
              <w:pStyle w:val="TableContents"/>
              <w:ind w:right="37"/>
              <w:jc w:val="both"/>
              <w:rPr>
                <w:rFonts w:ascii="Arial Narrow" w:hAnsi="Arial Narrow"/>
                <w:sz w:val="18"/>
                <w:szCs w:val="18"/>
              </w:rPr>
            </w:pPr>
            <w:r>
              <w:rPr>
                <w:rFonts w:ascii="Arial Narrow" w:hAnsi="Arial Narrow"/>
                <w:sz w:val="18"/>
                <w:szCs w:val="18"/>
              </w:rPr>
              <w:t>e)</w:t>
            </w:r>
            <w:r w:rsidR="001B659D">
              <w:rPr>
                <w:rFonts w:ascii="Arial Narrow" w:hAnsi="Arial Narrow"/>
                <w:sz w:val="18"/>
                <w:szCs w:val="18"/>
              </w:rPr>
              <w:t xml:space="preserve"> </w:t>
            </w:r>
            <w:r>
              <w:rPr>
                <w:rFonts w:ascii="Arial Narrow" w:hAnsi="Arial Narrow"/>
                <w:sz w:val="18"/>
                <w:szCs w:val="18"/>
              </w:rPr>
              <w:t>No hemos tenido información de PROREGION y de la Ger</w:t>
            </w:r>
            <w:r w:rsidR="00AF554F">
              <w:rPr>
                <w:rFonts w:ascii="Arial Narrow" w:hAnsi="Arial Narrow"/>
                <w:sz w:val="18"/>
                <w:szCs w:val="18"/>
              </w:rPr>
              <w:t>e</w:t>
            </w:r>
            <w:r w:rsidR="001B659D">
              <w:rPr>
                <w:rFonts w:ascii="Arial Narrow" w:hAnsi="Arial Narrow"/>
                <w:sz w:val="18"/>
                <w:szCs w:val="18"/>
              </w:rPr>
              <w:t>ncia de Desarrollo S</w:t>
            </w:r>
            <w:r>
              <w:rPr>
                <w:rFonts w:ascii="Arial Narrow" w:hAnsi="Arial Narrow"/>
                <w:sz w:val="18"/>
                <w:szCs w:val="18"/>
              </w:rPr>
              <w:t>ocial.</w:t>
            </w:r>
          </w:p>
        </w:tc>
      </w:tr>
      <w:tr w:rsidR="00EE2FBA" w:rsidTr="003E33A1">
        <w:tc>
          <w:tcPr>
            <w:tcW w:w="960" w:type="dxa"/>
            <w:tcBorders>
              <w:top w:val="nil"/>
              <w:left w:val="single" w:sz="2" w:space="0" w:color="000000"/>
              <w:bottom w:val="single" w:sz="2" w:space="0" w:color="000000"/>
              <w:right w:val="nil"/>
            </w:tcBorders>
            <w:tcMar>
              <w:top w:w="55" w:type="dxa"/>
              <w:left w:w="55" w:type="dxa"/>
              <w:bottom w:w="55" w:type="dxa"/>
              <w:right w:w="55" w:type="dxa"/>
            </w:tcMar>
            <w:hideMark/>
          </w:tcPr>
          <w:p w:rsidR="00EE2FBA" w:rsidRDefault="00EE2FBA">
            <w:pPr>
              <w:pStyle w:val="TableContents"/>
              <w:rPr>
                <w:rFonts w:ascii="Arial Narrow" w:hAnsi="Arial Narrow"/>
                <w:sz w:val="18"/>
                <w:szCs w:val="18"/>
              </w:rPr>
            </w:pPr>
            <w:r>
              <w:rPr>
                <w:rFonts w:ascii="Arial Narrow" w:hAnsi="Arial Narrow"/>
                <w:sz w:val="18"/>
                <w:szCs w:val="18"/>
              </w:rPr>
              <w:lastRenderedPageBreak/>
              <w:t>4</w:t>
            </w:r>
          </w:p>
        </w:tc>
        <w:tc>
          <w:tcPr>
            <w:tcW w:w="3859" w:type="dxa"/>
            <w:tcBorders>
              <w:top w:val="nil"/>
              <w:left w:val="single" w:sz="2" w:space="0" w:color="000000"/>
              <w:bottom w:val="single" w:sz="2" w:space="0" w:color="000000"/>
              <w:right w:val="nil"/>
            </w:tcBorders>
            <w:tcMar>
              <w:top w:w="55" w:type="dxa"/>
              <w:left w:w="55" w:type="dxa"/>
              <w:bottom w:w="55" w:type="dxa"/>
              <w:right w:w="55" w:type="dxa"/>
            </w:tcMar>
            <w:hideMark/>
          </w:tcPr>
          <w:p w:rsidR="00EE2FBA" w:rsidRDefault="00EE2FBA" w:rsidP="003E33A1">
            <w:pPr>
              <w:pStyle w:val="Prrafodelista"/>
              <w:ind w:left="0" w:right="31"/>
              <w:jc w:val="both"/>
              <w:rPr>
                <w:rFonts w:ascii="Arial Narrow" w:hAnsi="Arial Narrow"/>
                <w:sz w:val="18"/>
                <w:szCs w:val="18"/>
                <w:lang w:eastAsia="zh-CN"/>
              </w:rPr>
            </w:pPr>
            <w:r>
              <w:rPr>
                <w:rFonts w:ascii="Arial Narrow" w:hAnsi="Arial Narrow"/>
                <w:sz w:val="18"/>
                <w:szCs w:val="18"/>
                <w:lang w:eastAsia="zh-CN"/>
              </w:rPr>
              <w:t xml:space="preserve">Que a partir de la fecha la Sub Gerencia de Planeamiento y Cooperación Técnica Internacional, será la responsable de recepcionar las </w:t>
            </w:r>
            <w:r w:rsidR="001B659D">
              <w:rPr>
                <w:rFonts w:ascii="Arial Narrow" w:hAnsi="Arial Narrow"/>
                <w:sz w:val="18"/>
                <w:szCs w:val="18"/>
                <w:lang w:eastAsia="zh-CN"/>
              </w:rPr>
              <w:t>solicitudes</w:t>
            </w:r>
            <w:r>
              <w:rPr>
                <w:rFonts w:ascii="Arial Narrow" w:hAnsi="Arial Narrow"/>
                <w:sz w:val="18"/>
                <w:szCs w:val="18"/>
                <w:lang w:eastAsia="zh-CN"/>
              </w:rPr>
              <w:t xml:space="preserve"> de los perfiles,</w:t>
            </w:r>
            <w:r w:rsidR="001B659D">
              <w:rPr>
                <w:rFonts w:ascii="Arial Narrow" w:hAnsi="Arial Narrow"/>
                <w:sz w:val="18"/>
                <w:szCs w:val="18"/>
                <w:lang w:eastAsia="zh-CN"/>
              </w:rPr>
              <w:t xml:space="preserve"> </w:t>
            </w:r>
            <w:r>
              <w:rPr>
                <w:rFonts w:ascii="Arial Narrow" w:hAnsi="Arial Narrow"/>
                <w:sz w:val="18"/>
                <w:szCs w:val="18"/>
                <w:lang w:eastAsia="zh-CN"/>
              </w:rPr>
              <w:t>proyectos y los priorice de acuerdo a normas y proceda con el trámite posterior.</w:t>
            </w:r>
          </w:p>
        </w:tc>
        <w:tc>
          <w:tcPr>
            <w:tcW w:w="1421" w:type="dxa"/>
            <w:tcBorders>
              <w:top w:val="nil"/>
              <w:left w:val="single" w:sz="2" w:space="0" w:color="000000"/>
              <w:bottom w:val="single" w:sz="2" w:space="0" w:color="000000"/>
              <w:right w:val="nil"/>
            </w:tcBorders>
            <w:tcMar>
              <w:top w:w="55" w:type="dxa"/>
              <w:left w:w="55" w:type="dxa"/>
              <w:bottom w:w="55" w:type="dxa"/>
              <w:right w:w="55" w:type="dxa"/>
            </w:tcMar>
            <w:hideMark/>
          </w:tcPr>
          <w:p w:rsidR="00EE2FBA" w:rsidRDefault="00EE2FBA" w:rsidP="003E33A1">
            <w:pPr>
              <w:pStyle w:val="TableContents"/>
              <w:jc w:val="center"/>
              <w:rPr>
                <w:rFonts w:ascii="Arial Narrow" w:hAnsi="Arial Narrow"/>
                <w:sz w:val="18"/>
                <w:szCs w:val="18"/>
              </w:rPr>
            </w:pPr>
            <w:r>
              <w:rPr>
                <w:rFonts w:ascii="Arial Narrow" w:hAnsi="Arial Narrow"/>
                <w:sz w:val="18"/>
                <w:szCs w:val="18"/>
              </w:rPr>
              <w:t>SI</w:t>
            </w:r>
          </w:p>
        </w:tc>
        <w:tc>
          <w:tcPr>
            <w:tcW w:w="34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E2FBA" w:rsidRDefault="00EE2FBA" w:rsidP="003E33A1">
            <w:pPr>
              <w:pStyle w:val="TableContents"/>
              <w:ind w:right="37"/>
              <w:jc w:val="both"/>
              <w:rPr>
                <w:rFonts w:ascii="Arial Narrow" w:hAnsi="Arial Narrow"/>
                <w:sz w:val="18"/>
                <w:szCs w:val="18"/>
              </w:rPr>
            </w:pPr>
            <w:r>
              <w:rPr>
                <w:rFonts w:ascii="Arial Narrow" w:hAnsi="Arial Narrow"/>
                <w:sz w:val="18"/>
                <w:szCs w:val="18"/>
              </w:rPr>
              <w:t>Con fecha 27-02-2012, se recepcionó el Informe Nº 07-2012-GR.CAJ-GRPPAT/SGPLCTI con SISGEDO Nº 572822, en el que manifiesta:</w:t>
            </w:r>
            <w:r w:rsidR="001B659D">
              <w:rPr>
                <w:rFonts w:ascii="Arial Narrow" w:hAnsi="Arial Narrow"/>
                <w:sz w:val="18"/>
                <w:szCs w:val="18"/>
              </w:rPr>
              <w:t xml:space="preserve"> </w:t>
            </w:r>
            <w:r>
              <w:rPr>
                <w:rFonts w:ascii="Arial Narrow" w:hAnsi="Arial Narrow"/>
                <w:sz w:val="18"/>
                <w:szCs w:val="18"/>
              </w:rPr>
              <w:t xml:space="preserve">Que </w:t>
            </w:r>
            <w:r w:rsidR="001B659D">
              <w:rPr>
                <w:rFonts w:ascii="Arial Narrow" w:hAnsi="Arial Narrow"/>
                <w:sz w:val="18"/>
                <w:szCs w:val="18"/>
              </w:rPr>
              <w:t xml:space="preserve">la SGP </w:t>
            </w:r>
            <w:r>
              <w:rPr>
                <w:rFonts w:ascii="Arial Narrow" w:hAnsi="Arial Narrow"/>
                <w:sz w:val="18"/>
                <w:szCs w:val="18"/>
              </w:rPr>
              <w:t>est</w:t>
            </w:r>
            <w:r w:rsidR="003E33A1">
              <w:rPr>
                <w:rFonts w:ascii="Arial Narrow" w:hAnsi="Arial Narrow"/>
                <w:sz w:val="18"/>
                <w:szCs w:val="18"/>
              </w:rPr>
              <w:t>á</w:t>
            </w:r>
            <w:r>
              <w:rPr>
                <w:rFonts w:ascii="Arial Narrow" w:hAnsi="Arial Narrow"/>
                <w:sz w:val="18"/>
                <w:szCs w:val="18"/>
              </w:rPr>
              <w:t xml:space="preserve"> recepcionando los expedientes enviados por las UF y la Gerencia General y están evaluando, utilizando una ficha Evaluación Proyecto de Inversión, para luego derivarlas a las UF correspondientes incluido PROREGION, para su atención. A partir del mes de Febrero 2012 se </w:t>
            </w:r>
            <w:r w:rsidR="001B659D">
              <w:rPr>
                <w:rFonts w:ascii="Arial Narrow" w:hAnsi="Arial Narrow"/>
                <w:sz w:val="18"/>
                <w:szCs w:val="18"/>
              </w:rPr>
              <w:t>h</w:t>
            </w:r>
            <w:r>
              <w:rPr>
                <w:rFonts w:ascii="Arial Narrow" w:hAnsi="Arial Narrow"/>
                <w:sz w:val="18"/>
                <w:szCs w:val="18"/>
              </w:rPr>
              <w:t>a sistematizado 70 expedientes. Adjunta ficha.</w:t>
            </w:r>
          </w:p>
          <w:p w:rsidR="00EE2FBA" w:rsidRDefault="00EE2FBA" w:rsidP="003E33A1">
            <w:pPr>
              <w:pStyle w:val="TableContents"/>
              <w:ind w:right="37"/>
              <w:jc w:val="both"/>
              <w:rPr>
                <w:rFonts w:ascii="Arial Narrow" w:hAnsi="Arial Narrow"/>
                <w:sz w:val="18"/>
                <w:szCs w:val="18"/>
              </w:rPr>
            </w:pPr>
            <w:r>
              <w:rPr>
                <w:rFonts w:ascii="Arial Narrow" w:hAnsi="Arial Narrow"/>
                <w:sz w:val="18"/>
                <w:szCs w:val="18"/>
              </w:rPr>
              <w:t>Faltaría presentar el tipo de expedientes sistematizados.</w:t>
            </w:r>
          </w:p>
        </w:tc>
      </w:tr>
      <w:tr w:rsidR="00EE2FBA" w:rsidTr="003E33A1">
        <w:trPr>
          <w:trHeight w:val="1283"/>
        </w:trPr>
        <w:tc>
          <w:tcPr>
            <w:tcW w:w="960" w:type="dxa"/>
            <w:tcBorders>
              <w:top w:val="nil"/>
              <w:left w:val="single" w:sz="2" w:space="0" w:color="000000"/>
              <w:bottom w:val="single" w:sz="2" w:space="0" w:color="000000"/>
              <w:right w:val="nil"/>
            </w:tcBorders>
            <w:tcMar>
              <w:top w:w="55" w:type="dxa"/>
              <w:left w:w="55" w:type="dxa"/>
              <w:bottom w:w="55" w:type="dxa"/>
              <w:right w:w="55" w:type="dxa"/>
            </w:tcMar>
            <w:hideMark/>
          </w:tcPr>
          <w:p w:rsidR="00EE2FBA" w:rsidRDefault="00EE2FBA" w:rsidP="001B659D">
            <w:pPr>
              <w:pStyle w:val="TableContents"/>
              <w:ind w:right="-143"/>
              <w:rPr>
                <w:rFonts w:ascii="Arial Narrow" w:hAnsi="Arial Narrow"/>
                <w:sz w:val="18"/>
                <w:szCs w:val="18"/>
              </w:rPr>
            </w:pPr>
            <w:r>
              <w:rPr>
                <w:rFonts w:ascii="Arial Narrow" w:hAnsi="Arial Narrow"/>
                <w:sz w:val="18"/>
                <w:szCs w:val="18"/>
              </w:rPr>
              <w:t>5</w:t>
            </w:r>
          </w:p>
        </w:tc>
        <w:tc>
          <w:tcPr>
            <w:tcW w:w="3859" w:type="dxa"/>
            <w:tcBorders>
              <w:top w:val="nil"/>
              <w:left w:val="single" w:sz="2" w:space="0" w:color="000000"/>
              <w:bottom w:val="single" w:sz="2" w:space="0" w:color="000000"/>
              <w:right w:val="nil"/>
            </w:tcBorders>
            <w:tcMar>
              <w:top w:w="55" w:type="dxa"/>
              <w:left w:w="55" w:type="dxa"/>
              <w:bottom w:w="55" w:type="dxa"/>
              <w:right w:w="55" w:type="dxa"/>
            </w:tcMar>
            <w:hideMark/>
          </w:tcPr>
          <w:p w:rsidR="00EE2FBA" w:rsidRDefault="00EE2FBA" w:rsidP="003E33A1">
            <w:pPr>
              <w:pStyle w:val="Standard"/>
              <w:ind w:right="31"/>
              <w:jc w:val="both"/>
              <w:rPr>
                <w:rFonts w:ascii="Arial Narrow" w:hAnsi="Arial Narrow"/>
                <w:sz w:val="18"/>
                <w:szCs w:val="18"/>
              </w:rPr>
            </w:pPr>
            <w:r>
              <w:rPr>
                <w:rFonts w:ascii="Arial Narrow" w:hAnsi="Arial Narrow"/>
                <w:sz w:val="18"/>
                <w:szCs w:val="18"/>
              </w:rPr>
              <w:t xml:space="preserve">Que el </w:t>
            </w:r>
            <w:r w:rsidR="001B659D">
              <w:rPr>
                <w:rFonts w:ascii="Arial Narrow" w:hAnsi="Arial Narrow"/>
                <w:sz w:val="18"/>
                <w:szCs w:val="18"/>
              </w:rPr>
              <w:t>Geren</w:t>
            </w:r>
            <w:r>
              <w:rPr>
                <w:rFonts w:ascii="Arial Narrow" w:hAnsi="Arial Narrow"/>
                <w:sz w:val="18"/>
                <w:szCs w:val="18"/>
              </w:rPr>
              <w:t>te General coordine y defina con los involucrados los siguientes puntos tratados en los Pedidos: Nº 4.2, 4.3, 4.4 y 4.5,  conforme al pedido de Presidente del Comté (e) Dr. César Aliaga Díaz, a fin de obtener resultados en forma inmediata.</w:t>
            </w:r>
          </w:p>
        </w:tc>
        <w:tc>
          <w:tcPr>
            <w:tcW w:w="1421" w:type="dxa"/>
            <w:tcBorders>
              <w:top w:val="nil"/>
              <w:left w:val="single" w:sz="2" w:space="0" w:color="000000"/>
              <w:bottom w:val="single" w:sz="2" w:space="0" w:color="000000"/>
              <w:right w:val="nil"/>
            </w:tcBorders>
            <w:tcMar>
              <w:top w:w="55" w:type="dxa"/>
              <w:left w:w="55" w:type="dxa"/>
              <w:bottom w:w="55" w:type="dxa"/>
              <w:right w:w="55" w:type="dxa"/>
            </w:tcMar>
            <w:hideMark/>
          </w:tcPr>
          <w:p w:rsidR="00EE2FBA" w:rsidRDefault="00EE2FBA" w:rsidP="003E33A1">
            <w:pPr>
              <w:pStyle w:val="TableContents"/>
              <w:jc w:val="center"/>
              <w:rPr>
                <w:rFonts w:ascii="Arial Narrow" w:hAnsi="Arial Narrow"/>
                <w:sz w:val="18"/>
                <w:szCs w:val="18"/>
              </w:rPr>
            </w:pPr>
            <w:r>
              <w:rPr>
                <w:rFonts w:ascii="Arial Narrow" w:hAnsi="Arial Narrow"/>
                <w:sz w:val="18"/>
                <w:szCs w:val="18"/>
              </w:rPr>
              <w:t>NO</w:t>
            </w:r>
          </w:p>
        </w:tc>
        <w:tc>
          <w:tcPr>
            <w:tcW w:w="34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E2FBA" w:rsidRDefault="00EE2FBA" w:rsidP="003E33A1">
            <w:pPr>
              <w:pStyle w:val="TableContents"/>
              <w:ind w:right="37"/>
              <w:jc w:val="both"/>
              <w:rPr>
                <w:rFonts w:ascii="Arial Narrow" w:hAnsi="Arial Narrow"/>
                <w:sz w:val="18"/>
                <w:szCs w:val="18"/>
              </w:rPr>
            </w:pPr>
            <w:r>
              <w:rPr>
                <w:rFonts w:ascii="Arial Narrow" w:hAnsi="Arial Narrow"/>
                <w:sz w:val="18"/>
                <w:szCs w:val="18"/>
              </w:rPr>
              <w:t xml:space="preserve">No se </w:t>
            </w:r>
            <w:r w:rsidR="001B659D">
              <w:rPr>
                <w:rFonts w:ascii="Arial Narrow" w:hAnsi="Arial Narrow"/>
                <w:sz w:val="18"/>
                <w:szCs w:val="18"/>
              </w:rPr>
              <w:t>recepcionó informació</w:t>
            </w:r>
            <w:r>
              <w:rPr>
                <w:rFonts w:ascii="Arial Narrow" w:hAnsi="Arial Narrow"/>
                <w:sz w:val="18"/>
                <w:szCs w:val="18"/>
              </w:rPr>
              <w:t>n</w:t>
            </w:r>
          </w:p>
        </w:tc>
      </w:tr>
      <w:tr w:rsidR="00EE2FBA" w:rsidTr="003E33A1">
        <w:tc>
          <w:tcPr>
            <w:tcW w:w="960" w:type="dxa"/>
            <w:tcBorders>
              <w:top w:val="nil"/>
              <w:left w:val="single" w:sz="2" w:space="0" w:color="000000"/>
              <w:bottom w:val="single" w:sz="2" w:space="0" w:color="000000"/>
              <w:right w:val="nil"/>
            </w:tcBorders>
            <w:tcMar>
              <w:top w:w="55" w:type="dxa"/>
              <w:left w:w="55" w:type="dxa"/>
              <w:bottom w:w="55" w:type="dxa"/>
              <w:right w:w="55" w:type="dxa"/>
            </w:tcMar>
            <w:hideMark/>
          </w:tcPr>
          <w:p w:rsidR="00EE2FBA" w:rsidRDefault="00EE2FBA">
            <w:pPr>
              <w:pStyle w:val="TableContents"/>
              <w:rPr>
                <w:rFonts w:ascii="Arial Narrow" w:hAnsi="Arial Narrow"/>
                <w:sz w:val="18"/>
                <w:szCs w:val="18"/>
              </w:rPr>
            </w:pPr>
            <w:r>
              <w:rPr>
                <w:rFonts w:ascii="Arial Narrow" w:hAnsi="Arial Narrow"/>
                <w:sz w:val="18"/>
                <w:szCs w:val="18"/>
              </w:rPr>
              <w:t>6</w:t>
            </w:r>
          </w:p>
        </w:tc>
        <w:tc>
          <w:tcPr>
            <w:tcW w:w="3859" w:type="dxa"/>
            <w:tcBorders>
              <w:top w:val="nil"/>
              <w:left w:val="single" w:sz="2" w:space="0" w:color="000000"/>
              <w:bottom w:val="single" w:sz="2" w:space="0" w:color="000000"/>
              <w:right w:val="nil"/>
            </w:tcBorders>
            <w:tcMar>
              <w:top w:w="55" w:type="dxa"/>
              <w:left w:w="55" w:type="dxa"/>
              <w:bottom w:w="55" w:type="dxa"/>
              <w:right w:w="55" w:type="dxa"/>
            </w:tcMar>
            <w:hideMark/>
          </w:tcPr>
          <w:p w:rsidR="00EE2FBA" w:rsidRDefault="00EE2FBA" w:rsidP="003E33A1">
            <w:pPr>
              <w:pStyle w:val="Standard"/>
              <w:ind w:right="31"/>
              <w:jc w:val="both"/>
              <w:rPr>
                <w:rFonts w:ascii="Arial Narrow" w:hAnsi="Arial Narrow"/>
                <w:sz w:val="18"/>
                <w:szCs w:val="18"/>
              </w:rPr>
            </w:pPr>
            <w:r>
              <w:rPr>
                <w:rFonts w:ascii="Arial Narrow" w:hAnsi="Arial Narrow"/>
                <w:sz w:val="18"/>
                <w:szCs w:val="18"/>
              </w:rPr>
              <w:t>Que la Dirección de Administración emita un informe a la secretaria técnica con copia al gabinete de asesores de presidencia, señalando las causas por los que los procesos se han caído o declarado desiertos, como máximo al jueves 26 de enero del 2012 y ser presentados en la próxima sesión del CRI.</w:t>
            </w:r>
          </w:p>
        </w:tc>
        <w:tc>
          <w:tcPr>
            <w:tcW w:w="1421" w:type="dxa"/>
            <w:tcBorders>
              <w:top w:val="nil"/>
              <w:left w:val="single" w:sz="2" w:space="0" w:color="000000"/>
              <w:bottom w:val="single" w:sz="2" w:space="0" w:color="000000"/>
              <w:right w:val="nil"/>
            </w:tcBorders>
            <w:tcMar>
              <w:top w:w="55" w:type="dxa"/>
              <w:left w:w="55" w:type="dxa"/>
              <w:bottom w:w="55" w:type="dxa"/>
              <w:right w:w="55" w:type="dxa"/>
            </w:tcMar>
            <w:hideMark/>
          </w:tcPr>
          <w:p w:rsidR="00EE2FBA" w:rsidRDefault="00EE2FBA" w:rsidP="003E33A1">
            <w:pPr>
              <w:pStyle w:val="TableContents"/>
              <w:jc w:val="center"/>
              <w:rPr>
                <w:rFonts w:ascii="Arial Narrow" w:hAnsi="Arial Narrow"/>
                <w:sz w:val="18"/>
                <w:szCs w:val="18"/>
              </w:rPr>
            </w:pPr>
            <w:r>
              <w:rPr>
                <w:rFonts w:ascii="Arial Narrow" w:hAnsi="Arial Narrow"/>
                <w:sz w:val="18"/>
                <w:szCs w:val="18"/>
              </w:rPr>
              <w:t>SI</w:t>
            </w:r>
          </w:p>
        </w:tc>
        <w:tc>
          <w:tcPr>
            <w:tcW w:w="34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E2FBA" w:rsidRDefault="00EE2FBA" w:rsidP="003E33A1">
            <w:pPr>
              <w:pStyle w:val="TableContents"/>
              <w:ind w:right="37"/>
              <w:jc w:val="both"/>
              <w:rPr>
                <w:rFonts w:ascii="Arial Narrow" w:hAnsi="Arial Narrow"/>
                <w:sz w:val="18"/>
                <w:szCs w:val="18"/>
              </w:rPr>
            </w:pPr>
            <w:r>
              <w:rPr>
                <w:rFonts w:ascii="Arial Narrow" w:hAnsi="Arial Narrow"/>
                <w:sz w:val="18"/>
                <w:szCs w:val="18"/>
              </w:rPr>
              <w:t>Corresponde el mismo informe  que para el acuerdo N</w:t>
            </w:r>
            <w:r w:rsidR="001B659D">
              <w:rPr>
                <w:rFonts w:ascii="Arial Narrow" w:hAnsi="Arial Narrow"/>
                <w:sz w:val="18"/>
                <w:szCs w:val="18"/>
              </w:rPr>
              <w:t>°</w:t>
            </w:r>
            <w:r>
              <w:rPr>
                <w:rFonts w:ascii="Arial Narrow" w:hAnsi="Arial Narrow"/>
                <w:sz w:val="18"/>
                <w:szCs w:val="18"/>
              </w:rPr>
              <w:t>1.</w:t>
            </w:r>
          </w:p>
        </w:tc>
      </w:tr>
      <w:tr w:rsidR="00EE2FBA" w:rsidTr="003E33A1">
        <w:tc>
          <w:tcPr>
            <w:tcW w:w="960" w:type="dxa"/>
            <w:tcBorders>
              <w:top w:val="nil"/>
              <w:left w:val="single" w:sz="2" w:space="0" w:color="000000"/>
              <w:bottom w:val="single" w:sz="2" w:space="0" w:color="000000"/>
              <w:right w:val="nil"/>
            </w:tcBorders>
            <w:tcMar>
              <w:top w:w="55" w:type="dxa"/>
              <w:left w:w="55" w:type="dxa"/>
              <w:bottom w:w="55" w:type="dxa"/>
              <w:right w:w="55" w:type="dxa"/>
            </w:tcMar>
            <w:hideMark/>
          </w:tcPr>
          <w:p w:rsidR="00EE2FBA" w:rsidRDefault="00EE2FBA">
            <w:pPr>
              <w:pStyle w:val="TableContents"/>
              <w:rPr>
                <w:rFonts w:ascii="Arial Narrow" w:hAnsi="Arial Narrow"/>
                <w:sz w:val="18"/>
                <w:szCs w:val="18"/>
              </w:rPr>
            </w:pPr>
            <w:r>
              <w:rPr>
                <w:rFonts w:ascii="Arial Narrow" w:hAnsi="Arial Narrow"/>
                <w:sz w:val="18"/>
                <w:szCs w:val="18"/>
              </w:rPr>
              <w:t>7</w:t>
            </w:r>
          </w:p>
        </w:tc>
        <w:tc>
          <w:tcPr>
            <w:tcW w:w="3859" w:type="dxa"/>
            <w:tcBorders>
              <w:top w:val="nil"/>
              <w:left w:val="single" w:sz="2" w:space="0" w:color="000000"/>
              <w:bottom w:val="single" w:sz="2" w:space="0" w:color="000000"/>
              <w:right w:val="nil"/>
            </w:tcBorders>
            <w:tcMar>
              <w:top w:w="55" w:type="dxa"/>
              <w:left w:w="55" w:type="dxa"/>
              <w:bottom w:w="55" w:type="dxa"/>
              <w:right w:w="55" w:type="dxa"/>
            </w:tcMar>
            <w:hideMark/>
          </w:tcPr>
          <w:p w:rsidR="00EE2FBA" w:rsidRDefault="00EE2FBA" w:rsidP="003E33A1">
            <w:pPr>
              <w:pStyle w:val="Prrafodelista"/>
              <w:ind w:left="0" w:right="31"/>
              <w:jc w:val="both"/>
              <w:rPr>
                <w:rFonts w:ascii="Arial Narrow" w:hAnsi="Arial Narrow"/>
                <w:sz w:val="18"/>
                <w:szCs w:val="18"/>
                <w:lang w:eastAsia="zh-CN"/>
              </w:rPr>
            </w:pPr>
            <w:r>
              <w:rPr>
                <w:rFonts w:ascii="Arial Narrow" w:hAnsi="Arial Narrow"/>
                <w:sz w:val="18"/>
                <w:szCs w:val="18"/>
                <w:lang w:eastAsia="zh-CN"/>
              </w:rPr>
              <w:t>Que en la relación de proyectos priorizados del CRI se debe incorporar el Proyecto del Laboratorio  del Agua, dado que hasta la fecha no existe una respuesta al seguimiento y no se cumplen plazos, dicho monitoreo esta a cargo de la Sub Gerencia de Supervisión y Liquidaciones.</w:t>
            </w:r>
          </w:p>
        </w:tc>
        <w:tc>
          <w:tcPr>
            <w:tcW w:w="1421" w:type="dxa"/>
            <w:tcBorders>
              <w:top w:val="nil"/>
              <w:left w:val="single" w:sz="2" w:space="0" w:color="000000"/>
              <w:bottom w:val="single" w:sz="2" w:space="0" w:color="000000"/>
              <w:right w:val="nil"/>
            </w:tcBorders>
            <w:tcMar>
              <w:top w:w="55" w:type="dxa"/>
              <w:left w:w="55" w:type="dxa"/>
              <w:bottom w:w="55" w:type="dxa"/>
              <w:right w:w="55" w:type="dxa"/>
            </w:tcMar>
            <w:hideMark/>
          </w:tcPr>
          <w:p w:rsidR="00EE2FBA" w:rsidRDefault="001B659D" w:rsidP="003E33A1">
            <w:pPr>
              <w:pStyle w:val="TableContents"/>
              <w:jc w:val="center"/>
              <w:rPr>
                <w:rFonts w:ascii="Arial Narrow" w:hAnsi="Arial Narrow"/>
                <w:sz w:val="18"/>
                <w:szCs w:val="18"/>
              </w:rPr>
            </w:pPr>
            <w:r>
              <w:rPr>
                <w:rFonts w:ascii="Arial Narrow" w:hAnsi="Arial Narrow"/>
                <w:sz w:val="18"/>
                <w:szCs w:val="18"/>
              </w:rPr>
              <w:t>SI</w:t>
            </w:r>
          </w:p>
        </w:tc>
        <w:tc>
          <w:tcPr>
            <w:tcW w:w="34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E2FBA" w:rsidRDefault="001B659D" w:rsidP="003E33A1">
            <w:pPr>
              <w:pStyle w:val="TableContents"/>
              <w:ind w:right="37"/>
              <w:jc w:val="both"/>
              <w:rPr>
                <w:rFonts w:ascii="Arial Narrow" w:hAnsi="Arial Narrow"/>
                <w:sz w:val="18"/>
                <w:szCs w:val="18"/>
              </w:rPr>
            </w:pPr>
            <w:r>
              <w:rPr>
                <w:rFonts w:ascii="Arial Narrow" w:hAnsi="Arial Narrow"/>
                <w:sz w:val="18"/>
                <w:szCs w:val="18"/>
              </w:rPr>
              <w:t>Se incorporó. Sin embargo, la</w:t>
            </w:r>
            <w:r w:rsidR="00EE2FBA">
              <w:rPr>
                <w:rFonts w:ascii="Arial Narrow" w:hAnsi="Arial Narrow"/>
                <w:sz w:val="18"/>
                <w:szCs w:val="18"/>
              </w:rPr>
              <w:t xml:space="preserve"> Sub </w:t>
            </w:r>
            <w:r w:rsidR="003E33A1">
              <w:rPr>
                <w:rFonts w:ascii="Arial Narrow" w:hAnsi="Arial Narrow"/>
                <w:sz w:val="18"/>
                <w:szCs w:val="18"/>
              </w:rPr>
              <w:t xml:space="preserve">Gerencia </w:t>
            </w:r>
            <w:r w:rsidR="00EE2FBA">
              <w:rPr>
                <w:rFonts w:ascii="Arial Narrow" w:hAnsi="Arial Narrow"/>
                <w:sz w:val="18"/>
                <w:szCs w:val="18"/>
              </w:rPr>
              <w:t>de Supervisión y Liquidación no alcanza el formato de seguimiento del proyecto.</w:t>
            </w:r>
            <w:r w:rsidR="003E33A1">
              <w:rPr>
                <w:rFonts w:ascii="Arial Narrow" w:hAnsi="Arial Narrow"/>
                <w:sz w:val="18"/>
                <w:szCs w:val="18"/>
              </w:rPr>
              <w:t xml:space="preserve"> </w:t>
            </w:r>
          </w:p>
        </w:tc>
      </w:tr>
      <w:tr w:rsidR="00EE2FBA" w:rsidTr="003E33A1">
        <w:tc>
          <w:tcPr>
            <w:tcW w:w="960" w:type="dxa"/>
            <w:tcBorders>
              <w:top w:val="nil"/>
              <w:left w:val="single" w:sz="2" w:space="0" w:color="000000"/>
              <w:bottom w:val="single" w:sz="2" w:space="0" w:color="000000"/>
              <w:right w:val="nil"/>
            </w:tcBorders>
            <w:tcMar>
              <w:top w:w="55" w:type="dxa"/>
              <w:left w:w="55" w:type="dxa"/>
              <w:bottom w:w="55" w:type="dxa"/>
              <w:right w:w="55" w:type="dxa"/>
            </w:tcMar>
            <w:hideMark/>
          </w:tcPr>
          <w:p w:rsidR="00EE2FBA" w:rsidRDefault="00EE2FBA">
            <w:pPr>
              <w:pStyle w:val="TableContents"/>
              <w:rPr>
                <w:rFonts w:ascii="Arial Narrow" w:hAnsi="Arial Narrow"/>
                <w:sz w:val="18"/>
                <w:szCs w:val="18"/>
              </w:rPr>
            </w:pPr>
            <w:r>
              <w:rPr>
                <w:rFonts w:ascii="Arial Narrow" w:hAnsi="Arial Narrow"/>
                <w:sz w:val="18"/>
                <w:szCs w:val="18"/>
              </w:rPr>
              <w:t>8</w:t>
            </w:r>
          </w:p>
        </w:tc>
        <w:tc>
          <w:tcPr>
            <w:tcW w:w="3859" w:type="dxa"/>
            <w:tcBorders>
              <w:top w:val="nil"/>
              <w:left w:val="single" w:sz="2" w:space="0" w:color="000000"/>
              <w:bottom w:val="single" w:sz="2" w:space="0" w:color="000000"/>
              <w:right w:val="nil"/>
            </w:tcBorders>
            <w:tcMar>
              <w:top w:w="55" w:type="dxa"/>
              <w:left w:w="55" w:type="dxa"/>
              <w:bottom w:w="55" w:type="dxa"/>
              <w:right w:w="55" w:type="dxa"/>
            </w:tcMar>
            <w:hideMark/>
          </w:tcPr>
          <w:p w:rsidR="00EE2FBA" w:rsidRDefault="00EE2FBA" w:rsidP="003E33A1">
            <w:pPr>
              <w:pStyle w:val="Standard"/>
              <w:ind w:right="31"/>
              <w:jc w:val="both"/>
              <w:rPr>
                <w:rFonts w:ascii="Arial Narrow" w:hAnsi="Arial Narrow"/>
                <w:sz w:val="18"/>
                <w:szCs w:val="18"/>
              </w:rPr>
            </w:pPr>
            <w:r>
              <w:rPr>
                <w:rFonts w:ascii="Arial Narrow" w:hAnsi="Arial Narrow"/>
                <w:sz w:val="18"/>
                <w:szCs w:val="18"/>
              </w:rPr>
              <w:t>Que en caso de incumplimiento de no alcanzar la información  y no participar en las reuniones de trabajo acordadas en las sesiones del CRI en el plazo  previsto, se aplicarán las sanciones que el Reglamento enuncia a las personas involucradas en el incumplimiento.</w:t>
            </w:r>
          </w:p>
        </w:tc>
        <w:tc>
          <w:tcPr>
            <w:tcW w:w="1421" w:type="dxa"/>
            <w:tcBorders>
              <w:top w:val="nil"/>
              <w:left w:val="single" w:sz="2" w:space="0" w:color="000000"/>
              <w:bottom w:val="single" w:sz="2" w:space="0" w:color="000000"/>
              <w:right w:val="nil"/>
            </w:tcBorders>
            <w:tcMar>
              <w:top w:w="55" w:type="dxa"/>
              <w:left w:w="55" w:type="dxa"/>
              <w:bottom w:w="55" w:type="dxa"/>
              <w:right w:w="55" w:type="dxa"/>
            </w:tcMar>
            <w:hideMark/>
          </w:tcPr>
          <w:p w:rsidR="00EE2FBA" w:rsidRDefault="00EE2FBA" w:rsidP="003E33A1">
            <w:pPr>
              <w:pStyle w:val="TableContents"/>
              <w:jc w:val="center"/>
              <w:rPr>
                <w:rFonts w:ascii="Arial Narrow" w:hAnsi="Arial Narrow"/>
                <w:sz w:val="18"/>
                <w:szCs w:val="18"/>
              </w:rPr>
            </w:pPr>
            <w:r>
              <w:rPr>
                <w:rFonts w:ascii="Arial Narrow" w:hAnsi="Arial Narrow"/>
                <w:sz w:val="18"/>
                <w:szCs w:val="18"/>
              </w:rPr>
              <w:t>SI</w:t>
            </w:r>
          </w:p>
        </w:tc>
        <w:tc>
          <w:tcPr>
            <w:tcW w:w="34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E2FBA" w:rsidRDefault="00EE2FBA" w:rsidP="003E33A1">
            <w:pPr>
              <w:pStyle w:val="TableContents"/>
              <w:ind w:right="37"/>
              <w:jc w:val="both"/>
              <w:rPr>
                <w:rFonts w:ascii="Arial Narrow" w:hAnsi="Arial Narrow"/>
                <w:sz w:val="18"/>
                <w:szCs w:val="18"/>
              </w:rPr>
            </w:pPr>
            <w:r>
              <w:rPr>
                <w:rFonts w:ascii="Arial Narrow" w:hAnsi="Arial Narrow"/>
                <w:sz w:val="18"/>
                <w:szCs w:val="18"/>
              </w:rPr>
              <w:t xml:space="preserve">La </w:t>
            </w:r>
            <w:r w:rsidR="001B659D">
              <w:rPr>
                <w:rFonts w:ascii="Arial Narrow" w:hAnsi="Arial Narrow"/>
                <w:sz w:val="18"/>
                <w:szCs w:val="18"/>
              </w:rPr>
              <w:t xml:space="preserve">información </w:t>
            </w:r>
            <w:r>
              <w:rPr>
                <w:rFonts w:ascii="Arial Narrow" w:hAnsi="Arial Narrow"/>
                <w:sz w:val="18"/>
                <w:szCs w:val="18"/>
              </w:rPr>
              <w:t>se ha recepcionado faltando 1 día para la realización del CRI, a pesar de haberles solicitado dentro de los plazos establecidos, se sugiere mayor compromiso con alcanzar la información.</w:t>
            </w:r>
          </w:p>
        </w:tc>
      </w:tr>
      <w:tr w:rsidR="00EE2FBA" w:rsidTr="003E33A1">
        <w:tc>
          <w:tcPr>
            <w:tcW w:w="960" w:type="dxa"/>
            <w:tcBorders>
              <w:top w:val="nil"/>
              <w:left w:val="single" w:sz="2" w:space="0" w:color="000000"/>
              <w:bottom w:val="single" w:sz="2" w:space="0" w:color="000000"/>
              <w:right w:val="nil"/>
            </w:tcBorders>
            <w:tcMar>
              <w:top w:w="55" w:type="dxa"/>
              <w:left w:w="55" w:type="dxa"/>
              <w:bottom w:w="55" w:type="dxa"/>
              <w:right w:w="55" w:type="dxa"/>
            </w:tcMar>
            <w:hideMark/>
          </w:tcPr>
          <w:p w:rsidR="00EE2FBA" w:rsidRDefault="00EE2FBA">
            <w:pPr>
              <w:pStyle w:val="TableContents"/>
              <w:rPr>
                <w:rFonts w:ascii="Arial Narrow" w:hAnsi="Arial Narrow"/>
                <w:sz w:val="18"/>
                <w:szCs w:val="18"/>
              </w:rPr>
            </w:pPr>
            <w:r>
              <w:rPr>
                <w:rFonts w:ascii="Arial Narrow" w:hAnsi="Arial Narrow"/>
                <w:sz w:val="18"/>
                <w:szCs w:val="18"/>
              </w:rPr>
              <w:t>9</w:t>
            </w:r>
          </w:p>
        </w:tc>
        <w:tc>
          <w:tcPr>
            <w:tcW w:w="3859" w:type="dxa"/>
            <w:tcBorders>
              <w:top w:val="nil"/>
              <w:left w:val="single" w:sz="2" w:space="0" w:color="000000"/>
              <w:bottom w:val="single" w:sz="2" w:space="0" w:color="000000"/>
              <w:right w:val="nil"/>
            </w:tcBorders>
            <w:tcMar>
              <w:top w:w="55" w:type="dxa"/>
              <w:left w:w="55" w:type="dxa"/>
              <w:bottom w:w="55" w:type="dxa"/>
              <w:right w:w="55" w:type="dxa"/>
            </w:tcMar>
          </w:tcPr>
          <w:p w:rsidR="00EE2FBA" w:rsidRDefault="00EE2FBA" w:rsidP="003E33A1">
            <w:pPr>
              <w:pStyle w:val="TableContents"/>
              <w:ind w:right="31"/>
              <w:jc w:val="both"/>
              <w:rPr>
                <w:rFonts w:ascii="Arial Narrow" w:hAnsi="Arial Narrow"/>
                <w:sz w:val="18"/>
                <w:szCs w:val="18"/>
              </w:rPr>
            </w:pPr>
            <w:r>
              <w:rPr>
                <w:rFonts w:ascii="Arial Narrow" w:hAnsi="Arial Narrow"/>
                <w:sz w:val="18"/>
                <w:szCs w:val="18"/>
              </w:rPr>
              <w:t xml:space="preserve">Acuerdo </w:t>
            </w:r>
            <w:r w:rsidR="001B659D">
              <w:rPr>
                <w:rFonts w:ascii="Arial Narrow" w:hAnsi="Arial Narrow"/>
                <w:sz w:val="18"/>
                <w:szCs w:val="18"/>
              </w:rPr>
              <w:t xml:space="preserve">pendiente </w:t>
            </w:r>
            <w:r>
              <w:rPr>
                <w:rFonts w:ascii="Arial Narrow" w:hAnsi="Arial Narrow"/>
                <w:sz w:val="18"/>
                <w:szCs w:val="18"/>
              </w:rPr>
              <w:t xml:space="preserve">de la Tercera sesión de trabajo, </w:t>
            </w:r>
            <w:r w:rsidR="001B659D">
              <w:rPr>
                <w:rFonts w:ascii="Arial Narrow" w:hAnsi="Arial Narrow"/>
                <w:sz w:val="18"/>
                <w:szCs w:val="18"/>
              </w:rPr>
              <w:t xml:space="preserve">que la OPI </w:t>
            </w:r>
            <w:r>
              <w:rPr>
                <w:rFonts w:ascii="Arial Narrow" w:hAnsi="Arial Narrow"/>
                <w:sz w:val="18"/>
                <w:szCs w:val="18"/>
              </w:rPr>
              <w:t>reali</w:t>
            </w:r>
            <w:r w:rsidR="001B659D">
              <w:rPr>
                <w:rFonts w:ascii="Arial Narrow" w:hAnsi="Arial Narrow"/>
                <w:sz w:val="18"/>
                <w:szCs w:val="18"/>
              </w:rPr>
              <w:t>ce</w:t>
            </w:r>
            <w:r>
              <w:rPr>
                <w:rFonts w:ascii="Arial Narrow" w:hAnsi="Arial Narrow"/>
                <w:sz w:val="18"/>
                <w:szCs w:val="18"/>
              </w:rPr>
              <w:t xml:space="preserve"> un taller de INFOBRAS a fin de que el aplicativo de </w:t>
            </w:r>
            <w:r w:rsidR="001B659D">
              <w:rPr>
                <w:rFonts w:ascii="Arial Narrow" w:hAnsi="Arial Narrow"/>
                <w:sz w:val="18"/>
                <w:szCs w:val="18"/>
              </w:rPr>
              <w:t>registro</w:t>
            </w:r>
            <w:r>
              <w:rPr>
                <w:rFonts w:ascii="Arial Narrow" w:hAnsi="Arial Narrow"/>
                <w:sz w:val="18"/>
                <w:szCs w:val="18"/>
              </w:rPr>
              <w:t xml:space="preserve"> de información sea responsabilidad de las Unidades ejecutoras.</w:t>
            </w:r>
            <w:r w:rsidR="001B659D">
              <w:rPr>
                <w:rFonts w:ascii="Arial Narrow" w:hAnsi="Arial Narrow"/>
                <w:sz w:val="18"/>
                <w:szCs w:val="18"/>
              </w:rPr>
              <w:t xml:space="preserve"> Capacitar a UE sobre modificaciones en la fase de inversión.</w:t>
            </w:r>
          </w:p>
          <w:p w:rsidR="00EE2FBA" w:rsidRDefault="00EE2FBA" w:rsidP="003E33A1">
            <w:pPr>
              <w:pStyle w:val="TableContents"/>
              <w:ind w:right="31"/>
              <w:jc w:val="both"/>
              <w:rPr>
                <w:rFonts w:ascii="Arial Narrow" w:hAnsi="Arial Narrow"/>
                <w:sz w:val="18"/>
                <w:szCs w:val="18"/>
              </w:rPr>
            </w:pPr>
          </w:p>
          <w:p w:rsidR="00EE2FBA" w:rsidRDefault="00EE2FBA" w:rsidP="003E33A1">
            <w:pPr>
              <w:pStyle w:val="TableContents"/>
              <w:ind w:right="31"/>
              <w:jc w:val="both"/>
              <w:rPr>
                <w:rFonts w:ascii="Arial Narrow" w:hAnsi="Arial Narrow"/>
                <w:sz w:val="18"/>
                <w:szCs w:val="18"/>
              </w:rPr>
            </w:pPr>
          </w:p>
          <w:p w:rsidR="00EE2FBA" w:rsidRDefault="00EE2FBA" w:rsidP="003E33A1">
            <w:pPr>
              <w:pStyle w:val="TableContents"/>
              <w:ind w:right="31"/>
              <w:jc w:val="both"/>
              <w:rPr>
                <w:rFonts w:ascii="Arial Narrow" w:hAnsi="Arial Narrow"/>
                <w:sz w:val="18"/>
                <w:szCs w:val="18"/>
              </w:rPr>
            </w:pPr>
          </w:p>
        </w:tc>
        <w:tc>
          <w:tcPr>
            <w:tcW w:w="1421" w:type="dxa"/>
            <w:tcBorders>
              <w:top w:val="nil"/>
              <w:left w:val="single" w:sz="2" w:space="0" w:color="000000"/>
              <w:bottom w:val="single" w:sz="2" w:space="0" w:color="000000"/>
              <w:right w:val="nil"/>
            </w:tcBorders>
            <w:tcMar>
              <w:top w:w="55" w:type="dxa"/>
              <w:left w:w="55" w:type="dxa"/>
              <w:bottom w:w="55" w:type="dxa"/>
              <w:right w:w="55" w:type="dxa"/>
            </w:tcMar>
            <w:hideMark/>
          </w:tcPr>
          <w:p w:rsidR="00EE2FBA" w:rsidRDefault="00EE2FBA" w:rsidP="003E33A1">
            <w:pPr>
              <w:pStyle w:val="TableContents"/>
              <w:jc w:val="center"/>
              <w:rPr>
                <w:rFonts w:ascii="Arial Narrow" w:hAnsi="Arial Narrow"/>
                <w:sz w:val="18"/>
                <w:szCs w:val="18"/>
              </w:rPr>
            </w:pPr>
            <w:r>
              <w:rPr>
                <w:rFonts w:ascii="Arial Narrow" w:hAnsi="Arial Narrow"/>
                <w:sz w:val="18"/>
                <w:szCs w:val="18"/>
              </w:rPr>
              <w:t>S</w:t>
            </w:r>
            <w:bookmarkStart w:id="0" w:name="_GoBack"/>
            <w:bookmarkEnd w:id="0"/>
            <w:r>
              <w:rPr>
                <w:rFonts w:ascii="Arial Narrow" w:hAnsi="Arial Narrow"/>
                <w:sz w:val="18"/>
                <w:szCs w:val="18"/>
              </w:rPr>
              <w:t>I</w:t>
            </w:r>
          </w:p>
        </w:tc>
        <w:tc>
          <w:tcPr>
            <w:tcW w:w="340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E2FBA" w:rsidRDefault="00EE2FBA" w:rsidP="003E33A1">
            <w:pPr>
              <w:pStyle w:val="TableContents"/>
              <w:ind w:right="37"/>
              <w:jc w:val="both"/>
              <w:rPr>
                <w:rFonts w:ascii="Arial Narrow" w:hAnsi="Arial Narrow"/>
                <w:sz w:val="18"/>
                <w:szCs w:val="18"/>
              </w:rPr>
            </w:pPr>
            <w:r>
              <w:rPr>
                <w:rFonts w:ascii="Arial Narrow" w:hAnsi="Arial Narrow"/>
                <w:sz w:val="18"/>
                <w:szCs w:val="18"/>
              </w:rPr>
              <w:t xml:space="preserve">La </w:t>
            </w:r>
            <w:r w:rsidR="001B659D">
              <w:rPr>
                <w:rFonts w:ascii="Arial Narrow" w:hAnsi="Arial Narrow"/>
                <w:sz w:val="18"/>
                <w:szCs w:val="18"/>
              </w:rPr>
              <w:t xml:space="preserve">Sub </w:t>
            </w:r>
            <w:r>
              <w:rPr>
                <w:rFonts w:ascii="Arial Narrow" w:hAnsi="Arial Narrow"/>
                <w:sz w:val="18"/>
                <w:szCs w:val="18"/>
              </w:rPr>
              <w:t xml:space="preserve">Gerencia de Programación e Inversión programó la realización de 02 capacitaciones, las mismas que se ejecutaron en </w:t>
            </w:r>
            <w:r w:rsidR="00640D59">
              <w:rPr>
                <w:rFonts w:ascii="Arial Narrow" w:hAnsi="Arial Narrow"/>
                <w:sz w:val="18"/>
                <w:szCs w:val="18"/>
              </w:rPr>
              <w:t>las siguientes fechas: el</w:t>
            </w:r>
            <w:r>
              <w:rPr>
                <w:rFonts w:ascii="Arial Narrow" w:hAnsi="Arial Narrow"/>
                <w:sz w:val="18"/>
                <w:szCs w:val="18"/>
              </w:rPr>
              <w:t xml:space="preserve"> 17-01-2012  y   el 27-01-2012, con participación de representantes de las Unidades Ejecutoras en número de 30 personas por cada evento.</w:t>
            </w:r>
          </w:p>
          <w:p w:rsidR="00EE2FBA" w:rsidRDefault="00EE2FBA" w:rsidP="003E33A1">
            <w:pPr>
              <w:pStyle w:val="TableContents"/>
              <w:ind w:right="37"/>
              <w:jc w:val="both"/>
              <w:rPr>
                <w:rFonts w:ascii="Arial Narrow" w:hAnsi="Arial Narrow"/>
                <w:sz w:val="18"/>
                <w:szCs w:val="18"/>
              </w:rPr>
            </w:pPr>
            <w:r>
              <w:rPr>
                <w:rFonts w:ascii="Arial Narrow" w:hAnsi="Arial Narrow"/>
                <w:sz w:val="18"/>
                <w:szCs w:val="18"/>
              </w:rPr>
              <w:t xml:space="preserve">Para concluir con las normas vigentes es necesario que cada Gerencia de las Unidades Ejecutoras designen al profesional responsable para a su vez comunicar a la </w:t>
            </w:r>
            <w:r w:rsidR="001B659D">
              <w:rPr>
                <w:rFonts w:ascii="Arial Narrow" w:hAnsi="Arial Narrow"/>
                <w:sz w:val="18"/>
                <w:szCs w:val="18"/>
              </w:rPr>
              <w:t>Contraloría</w:t>
            </w:r>
            <w:r>
              <w:rPr>
                <w:rFonts w:ascii="Arial Narrow" w:hAnsi="Arial Narrow"/>
                <w:sz w:val="18"/>
                <w:szCs w:val="18"/>
              </w:rPr>
              <w:t xml:space="preserve"> General de la República a fin de que ésta asigne las claves personales y se de inicio a esta actividad.</w:t>
            </w:r>
          </w:p>
        </w:tc>
      </w:tr>
    </w:tbl>
    <w:p w:rsidR="00EE2FBA" w:rsidRDefault="00EE2FBA" w:rsidP="00EE2FBA">
      <w:pPr>
        <w:pStyle w:val="Standard"/>
      </w:pPr>
    </w:p>
    <w:p w:rsidR="000E31FD" w:rsidRDefault="000E31FD"/>
    <w:sectPr w:rsidR="000E31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F16AB"/>
    <w:multiLevelType w:val="hybridMultilevel"/>
    <w:tmpl w:val="B706FB1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BA"/>
    <w:rsid w:val="000E31FD"/>
    <w:rsid w:val="001B659D"/>
    <w:rsid w:val="003E33A1"/>
    <w:rsid w:val="00640D59"/>
    <w:rsid w:val="007E5221"/>
    <w:rsid w:val="009A47ED"/>
    <w:rsid w:val="00AF554F"/>
    <w:rsid w:val="00EE2FB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B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EE2FB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EE2FBA"/>
    <w:pPr>
      <w:suppressLineNumbers/>
    </w:pPr>
  </w:style>
  <w:style w:type="paragraph" w:styleId="Prrafodelista">
    <w:name w:val="List Paragraph"/>
    <w:basedOn w:val="Standard"/>
    <w:qFormat/>
    <w:rsid w:val="00EE2FBA"/>
    <w:pPr>
      <w:spacing w:line="100" w:lineRule="atLeast"/>
      <w:ind w:left="720"/>
    </w:pPr>
    <w:rPr>
      <w:rFonts w:eastAsia="Times New Roman" w:cs="Times New Roman"/>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B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EE2FB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EE2FBA"/>
    <w:pPr>
      <w:suppressLineNumbers/>
    </w:pPr>
  </w:style>
  <w:style w:type="paragraph" w:styleId="Prrafodelista">
    <w:name w:val="List Paragraph"/>
    <w:basedOn w:val="Standard"/>
    <w:qFormat/>
    <w:rsid w:val="00EE2FBA"/>
    <w:pPr>
      <w:spacing w:line="100" w:lineRule="atLeast"/>
      <w:ind w:left="720"/>
    </w:pPr>
    <w:rPr>
      <w:rFonts w:eastAsia="Times New Roman" w:cs="Times New Roman"/>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93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1243</Words>
  <Characters>6839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Wilmer Chuquilin Madera</dc:creator>
  <cp:lastModifiedBy>Wilmer Chuquilin Madera</cp:lastModifiedBy>
  <cp:revision>2</cp:revision>
  <dcterms:created xsi:type="dcterms:W3CDTF">2012-02-28T17:45:00Z</dcterms:created>
  <dcterms:modified xsi:type="dcterms:W3CDTF">2012-02-28T19:52:00Z</dcterms:modified>
</cp:coreProperties>
</file>