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1E75" w:rsidRDefault="00551E75" w:rsidP="00551E7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 xml:space="preserve">Acta de la </w:t>
      </w:r>
      <w:r>
        <w:rPr>
          <w:rFonts w:asciiTheme="minorHAnsi" w:hAnsiTheme="minorHAnsi" w:cstheme="minorHAnsi"/>
          <w:b/>
          <w:sz w:val="22"/>
          <w:szCs w:val="22"/>
        </w:rPr>
        <w:t>Trigésima</w:t>
      </w:r>
    </w:p>
    <w:p w:rsidR="00551E75" w:rsidRPr="009C7B3C" w:rsidRDefault="00551E75" w:rsidP="00551E7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 xml:space="preserve"> Reunión del Comité Regional de Inversiones</w:t>
      </w:r>
    </w:p>
    <w:p w:rsidR="00551E75" w:rsidRPr="009C7B3C" w:rsidRDefault="00551E75" w:rsidP="00551E75">
      <w:pPr>
        <w:pStyle w:val="Standard"/>
        <w:jc w:val="center"/>
        <w:rPr>
          <w:rFonts w:asciiTheme="minorHAnsi" w:hAnsiTheme="minorHAnsi" w:cstheme="minorHAnsi"/>
          <w:sz w:val="22"/>
          <w:szCs w:val="22"/>
        </w:rPr>
      </w:pPr>
    </w:p>
    <w:p w:rsidR="00551E75" w:rsidRPr="009C7B3C" w:rsidRDefault="00551E75" w:rsidP="00551E75">
      <w:pPr>
        <w:pStyle w:val="Standard"/>
        <w:jc w:val="center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GOBIERNO REGIONAL CAJAMARCA</w:t>
      </w:r>
    </w:p>
    <w:p w:rsidR="00551E75" w:rsidRPr="009C7B3C" w:rsidRDefault="00551E75" w:rsidP="00551E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t xml:space="preserve">Siendo las </w:t>
      </w:r>
      <w:r>
        <w:rPr>
          <w:rFonts w:asciiTheme="minorHAnsi" w:hAnsiTheme="minorHAnsi" w:cstheme="minorHAnsi"/>
          <w:bCs/>
          <w:sz w:val="22"/>
          <w:szCs w:val="22"/>
        </w:rPr>
        <w:t>9:45</w:t>
      </w:r>
      <w:r w:rsidRPr="009C7B3C">
        <w:rPr>
          <w:rFonts w:asciiTheme="minorHAnsi" w:hAnsiTheme="minorHAnsi" w:cstheme="minorHAnsi"/>
          <w:bCs/>
          <w:sz w:val="22"/>
          <w:szCs w:val="22"/>
        </w:rPr>
        <w:t xml:space="preserve"> </w:t>
      </w:r>
      <w:r w:rsidRPr="009C7B3C">
        <w:rPr>
          <w:rFonts w:asciiTheme="minorHAnsi" w:hAnsiTheme="minorHAnsi" w:cstheme="minorHAnsi"/>
          <w:sz w:val="22"/>
          <w:szCs w:val="22"/>
        </w:rPr>
        <w:t xml:space="preserve">horas del día </w:t>
      </w:r>
      <w:r>
        <w:rPr>
          <w:rFonts w:asciiTheme="minorHAnsi" w:hAnsiTheme="minorHAnsi" w:cstheme="minorHAnsi"/>
          <w:sz w:val="22"/>
          <w:szCs w:val="22"/>
        </w:rPr>
        <w:t xml:space="preserve">viernes 10 </w:t>
      </w:r>
      <w:r w:rsidRPr="009C7B3C">
        <w:rPr>
          <w:rFonts w:asciiTheme="minorHAnsi" w:hAnsiTheme="minorHAnsi" w:cstheme="minorHAnsi"/>
          <w:sz w:val="22"/>
          <w:szCs w:val="22"/>
        </w:rPr>
        <w:t xml:space="preserve">de </w:t>
      </w:r>
      <w:r>
        <w:rPr>
          <w:rFonts w:asciiTheme="minorHAnsi" w:hAnsiTheme="minorHAnsi" w:cstheme="minorHAnsi"/>
          <w:sz w:val="22"/>
          <w:szCs w:val="22"/>
        </w:rPr>
        <w:t xml:space="preserve">octubre </w:t>
      </w:r>
      <w:r w:rsidRPr="009C7B3C">
        <w:rPr>
          <w:rFonts w:asciiTheme="minorHAnsi" w:hAnsiTheme="minorHAnsi" w:cstheme="minorHAnsi"/>
          <w:sz w:val="22"/>
          <w:szCs w:val="22"/>
        </w:rPr>
        <w:t xml:space="preserve">del 2014, en la Sala de Reuniones de </w:t>
      </w:r>
      <w:r>
        <w:rPr>
          <w:rFonts w:asciiTheme="minorHAnsi" w:hAnsiTheme="minorHAnsi" w:cstheme="minorHAnsi"/>
          <w:sz w:val="22"/>
          <w:szCs w:val="22"/>
        </w:rPr>
        <w:t xml:space="preserve">Presidencia </w:t>
      </w:r>
      <w:r w:rsidRPr="009C7B3C">
        <w:rPr>
          <w:rFonts w:asciiTheme="minorHAnsi" w:hAnsiTheme="minorHAnsi" w:cstheme="minorHAnsi"/>
          <w:sz w:val="22"/>
          <w:szCs w:val="22"/>
        </w:rPr>
        <w:t>- Sede del Gobierno Regional Cajamarca, se reunieron los miembros del Comité Regional de Inversiones del Gobierno Regional de Cajamarca, señores:</w:t>
      </w:r>
    </w:p>
    <w:p w:rsidR="00551E75" w:rsidRPr="009C7B3C" w:rsidRDefault="00551E75" w:rsidP="00551E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Style w:val="Tablaconcuadrcula"/>
        <w:tblW w:w="9640" w:type="dxa"/>
        <w:tblInd w:w="-176" w:type="dxa"/>
        <w:tblLook w:val="04A0" w:firstRow="1" w:lastRow="0" w:firstColumn="1" w:lastColumn="0" w:noHBand="0" w:noVBand="1"/>
      </w:tblPr>
      <w:tblGrid>
        <w:gridCol w:w="3403"/>
        <w:gridCol w:w="2126"/>
        <w:gridCol w:w="4111"/>
      </w:tblGrid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b/>
                <w:sz w:val="22"/>
                <w:szCs w:val="22"/>
              </w:rPr>
              <w:t>NOMBRE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b/>
                <w:sz w:val="22"/>
                <w:szCs w:val="22"/>
              </w:rPr>
              <w:t>CARGO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b/>
                <w:sz w:val="22"/>
                <w:szCs w:val="22"/>
              </w:rPr>
              <w:t>CARGO FUNCIONAL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María Estrada de Silva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Presidenta (e)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Gerente General Regional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Wilmer </w:t>
            </w: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Chuquilín</w:t>
            </w:r>
            <w:proofErr w:type="spellEnd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 Madera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Secretario Técnico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Sub Gerente de Programación e I.P.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Glen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Joe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Serrano Medina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 Regional Asesoría Jurídica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Luis Alberto Vallejo Portal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Gerente Reg. </w:t>
            </w:r>
            <w:proofErr w:type="gramStart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de</w:t>
            </w:r>
            <w:proofErr w:type="gramEnd"/>
            <w:r w:rsidRPr="009C7B3C">
              <w:rPr>
                <w:rFonts w:asciiTheme="minorHAnsi" w:hAnsiTheme="minorHAnsi" w:cstheme="minorHAnsi"/>
                <w:sz w:val="22"/>
                <w:szCs w:val="22"/>
              </w:rPr>
              <w:t xml:space="preserve"> Planeamiento y AT.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William Villalobos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Hoyos</w:t>
            </w:r>
            <w:proofErr w:type="spellEnd"/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 w:rsidRPr="009C7B3C"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Gerente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Regional RENAMA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César Sánchez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Zumarán</w:t>
            </w:r>
            <w:proofErr w:type="spellEnd"/>
          </w:p>
        </w:tc>
        <w:tc>
          <w:tcPr>
            <w:tcW w:w="2126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 Gerente de Supervisión y Liquidación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Anaximandro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Fernández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 xml:space="preserve"> Figueroa</w:t>
            </w:r>
          </w:p>
        </w:tc>
        <w:tc>
          <w:tcPr>
            <w:tcW w:w="2126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  <w:lang w:val="en-US"/>
              </w:rPr>
            </w:pPr>
            <w:proofErr w:type="spellStart"/>
            <w:r>
              <w:rPr>
                <w:rFonts w:asciiTheme="minorHAnsi" w:hAnsiTheme="minorHAnsi" w:cstheme="minorHAnsi"/>
                <w:sz w:val="22"/>
                <w:szCs w:val="22"/>
                <w:lang w:val="en-US"/>
              </w:rPr>
              <w:t>Miembro</w:t>
            </w:r>
            <w:proofErr w:type="spellEnd"/>
          </w:p>
        </w:tc>
        <w:tc>
          <w:tcPr>
            <w:tcW w:w="4111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Director Ejecutivo PROREGIÓN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Estela Jara Cerna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Jefe de UF Desarrollo Económico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Jorge Manuel León Cubas</w:t>
            </w:r>
          </w:p>
        </w:tc>
        <w:tc>
          <w:tcPr>
            <w:tcW w:w="2126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 Gerente de Operaciones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Walter Benavidez Gavidia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Gerente Sub Regional de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Cutervo</w:t>
            </w:r>
            <w:proofErr w:type="spellEnd"/>
          </w:p>
        </w:tc>
      </w:tr>
      <w:tr w:rsidR="00551E75" w:rsidRPr="009C7B3C" w:rsidTr="000D6ABC">
        <w:tc>
          <w:tcPr>
            <w:tcW w:w="3403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Jimmy </w:t>
            </w:r>
            <w:proofErr w:type="spellStart"/>
            <w:r>
              <w:rPr>
                <w:rFonts w:asciiTheme="minorHAnsi" w:hAnsiTheme="minorHAnsi" w:cstheme="minorHAnsi"/>
                <w:sz w:val="22"/>
                <w:szCs w:val="22"/>
              </w:rPr>
              <w:t>Alvarez</w:t>
            </w:r>
            <w:proofErr w:type="spellEnd"/>
            <w:r>
              <w:rPr>
                <w:rFonts w:asciiTheme="minorHAnsi" w:hAnsiTheme="minorHAnsi" w:cstheme="minorHAnsi"/>
                <w:sz w:val="22"/>
                <w:szCs w:val="22"/>
              </w:rPr>
              <w:t xml:space="preserve"> Cortez</w:t>
            </w:r>
          </w:p>
        </w:tc>
        <w:tc>
          <w:tcPr>
            <w:tcW w:w="2126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551E75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>
              <w:rPr>
                <w:rFonts w:asciiTheme="minorHAnsi" w:hAnsiTheme="minorHAnsi" w:cstheme="minorHAnsi"/>
                <w:sz w:val="22"/>
                <w:szCs w:val="22"/>
              </w:rPr>
              <w:t>Sub Gerente de PLTO. Y CTI.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Daniel Vargas Quispe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Jefe de UF (e) GRDS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Luis Ramírez León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Sub Gerente de Estudios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Hildebrando Ojeda Rojas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Jefe de UF ( e ) GRRENAMA</w:t>
            </w:r>
          </w:p>
        </w:tc>
      </w:tr>
      <w:tr w:rsidR="00551E75" w:rsidRPr="009C7B3C" w:rsidTr="000D6ABC">
        <w:tc>
          <w:tcPr>
            <w:tcW w:w="3403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Luis Ramírez León</w:t>
            </w:r>
          </w:p>
        </w:tc>
        <w:tc>
          <w:tcPr>
            <w:tcW w:w="2126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Miembro</w:t>
            </w:r>
          </w:p>
        </w:tc>
        <w:tc>
          <w:tcPr>
            <w:tcW w:w="4111" w:type="dxa"/>
          </w:tcPr>
          <w:p w:rsidR="00551E75" w:rsidRPr="009C7B3C" w:rsidRDefault="00551E75" w:rsidP="000D6ABC">
            <w:pPr>
              <w:pStyle w:val="Standard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9C7B3C">
              <w:rPr>
                <w:rFonts w:asciiTheme="minorHAnsi" w:hAnsiTheme="minorHAnsi" w:cstheme="minorHAnsi"/>
                <w:sz w:val="22"/>
                <w:szCs w:val="22"/>
              </w:rPr>
              <w:t>Sub Gerente de Estudios</w:t>
            </w:r>
          </w:p>
        </w:tc>
      </w:tr>
    </w:tbl>
    <w:p w:rsidR="00551E75" w:rsidRDefault="00551E75" w:rsidP="00551E7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1E75" w:rsidRDefault="00551E75" w:rsidP="00551E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Otros Participantes</w:t>
      </w:r>
      <w:r w:rsidRPr="009C7B3C">
        <w:rPr>
          <w:rFonts w:asciiTheme="minorHAnsi" w:hAnsiTheme="minorHAnsi" w:cstheme="minorHAnsi"/>
          <w:sz w:val="22"/>
          <w:szCs w:val="22"/>
        </w:rPr>
        <w:t>:</w:t>
      </w:r>
      <w:r>
        <w:rPr>
          <w:rFonts w:asciiTheme="minorHAnsi" w:hAnsiTheme="minorHAnsi" w:cstheme="minorHAnsi"/>
          <w:sz w:val="22"/>
          <w:szCs w:val="22"/>
        </w:rPr>
        <w:t xml:space="preserve"> Econ. Sandra </w:t>
      </w:r>
      <w:proofErr w:type="spellStart"/>
      <w:r>
        <w:rPr>
          <w:rFonts w:asciiTheme="minorHAnsi" w:hAnsiTheme="minorHAnsi" w:cstheme="minorHAnsi"/>
          <w:sz w:val="22"/>
          <w:szCs w:val="22"/>
        </w:rPr>
        <w:t>Serván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López CONECTAMEF- MEF, Ing. Mario Cáceres </w:t>
      </w:r>
      <w:proofErr w:type="spellStart"/>
      <w:r>
        <w:rPr>
          <w:rFonts w:asciiTheme="minorHAnsi" w:hAnsiTheme="minorHAnsi" w:cstheme="minorHAnsi"/>
          <w:sz w:val="22"/>
          <w:szCs w:val="22"/>
        </w:rPr>
        <w:t>Machicao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OPI Gobierno Regional.</w:t>
      </w:r>
    </w:p>
    <w:p w:rsidR="00551E75" w:rsidRPr="004722AC" w:rsidRDefault="00551E75" w:rsidP="00551E75">
      <w:pPr>
        <w:pStyle w:val="Standard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Pr="009C7B3C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Contando  con el quórum reglamentario se procedió al inicio de la Sesión, dando lectura a la Metodología a seguir, por</w:t>
      </w:r>
      <w:r>
        <w:rPr>
          <w:rFonts w:asciiTheme="minorHAnsi" w:hAnsiTheme="minorHAnsi" w:cstheme="minorHAnsi"/>
          <w:sz w:val="22"/>
          <w:szCs w:val="22"/>
        </w:rPr>
        <w:t xml:space="preserve"> el</w:t>
      </w:r>
      <w:r w:rsidRPr="009C7B3C">
        <w:rPr>
          <w:rFonts w:asciiTheme="minorHAnsi" w:hAnsiTheme="minorHAnsi" w:cstheme="minorHAnsi"/>
          <w:sz w:val="22"/>
          <w:szCs w:val="22"/>
        </w:rPr>
        <w:t xml:space="preserve"> Secretari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C7B3C">
        <w:rPr>
          <w:rFonts w:asciiTheme="minorHAnsi" w:hAnsiTheme="minorHAnsi" w:cstheme="minorHAnsi"/>
          <w:sz w:val="22"/>
          <w:szCs w:val="22"/>
        </w:rPr>
        <w:t xml:space="preserve"> Técnic</w:t>
      </w:r>
      <w:r>
        <w:rPr>
          <w:rFonts w:asciiTheme="minorHAnsi" w:hAnsiTheme="minorHAnsi" w:cstheme="minorHAnsi"/>
          <w:sz w:val="22"/>
          <w:szCs w:val="22"/>
        </w:rPr>
        <w:t>o</w:t>
      </w:r>
      <w:r w:rsidRPr="009C7B3C">
        <w:rPr>
          <w:rFonts w:asciiTheme="minorHAnsi" w:hAnsiTheme="minorHAnsi" w:cstheme="minorHAnsi"/>
          <w:sz w:val="22"/>
          <w:szCs w:val="22"/>
        </w:rPr>
        <w:t xml:space="preserve"> Eco. Wilmer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Chuquilín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Madera.</w:t>
      </w: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Los miembros del Comité del CRI que han solicitado permiso por encontrarse </w:t>
      </w:r>
      <w:r>
        <w:rPr>
          <w:rFonts w:asciiTheme="minorHAnsi" w:hAnsiTheme="minorHAnsi" w:cstheme="minorHAnsi"/>
          <w:sz w:val="22"/>
          <w:szCs w:val="22"/>
        </w:rPr>
        <w:t xml:space="preserve">de comisión de servicios son: Abogado César Aliaga </w:t>
      </w:r>
      <w:proofErr w:type="gramStart"/>
      <w:r>
        <w:rPr>
          <w:rFonts w:asciiTheme="minorHAnsi" w:hAnsiTheme="minorHAnsi" w:cstheme="minorHAnsi"/>
          <w:sz w:val="22"/>
          <w:szCs w:val="22"/>
        </w:rPr>
        <w:t>Díaz ,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Presidente Gobierno Regional Cajamarca, Ing. Walter Esquivel </w:t>
      </w:r>
      <w:proofErr w:type="spellStart"/>
      <w:r>
        <w:rPr>
          <w:rFonts w:asciiTheme="minorHAnsi" w:hAnsiTheme="minorHAnsi" w:cstheme="minorHAnsi"/>
          <w:sz w:val="22"/>
          <w:szCs w:val="22"/>
        </w:rPr>
        <w:t>Mariños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Gerente Regional de Desarrollo Económico, </w:t>
      </w:r>
      <w:proofErr w:type="spellStart"/>
      <w:r>
        <w:rPr>
          <w:rFonts w:asciiTheme="minorHAnsi" w:hAnsiTheme="minorHAnsi" w:cstheme="minorHAnsi"/>
          <w:sz w:val="22"/>
          <w:szCs w:val="22"/>
        </w:rPr>
        <w:t>Srta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</w:t>
      </w:r>
      <w:proofErr w:type="spellStart"/>
      <w:r>
        <w:rPr>
          <w:rFonts w:asciiTheme="minorHAnsi" w:hAnsiTheme="minorHAnsi" w:cstheme="minorHAnsi"/>
          <w:sz w:val="22"/>
          <w:szCs w:val="22"/>
        </w:rPr>
        <w:t>Cyntia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Ríos Ruiz Sub Gerente de PPTO.</w:t>
      </w: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Los miembro del Comité del CRI que han faltado a la presente reunión y no han justificado su inasistencia  son:</w:t>
      </w:r>
      <w:r>
        <w:rPr>
          <w:rFonts w:asciiTheme="minorHAnsi" w:hAnsiTheme="minorHAnsi" w:cstheme="minorHAnsi"/>
          <w:sz w:val="22"/>
          <w:szCs w:val="22"/>
        </w:rPr>
        <w:t xml:space="preserve"> Jorge Alberto Olivera Gonzales Dir. Reg. De Administración, Prof. Orlando Rodríguez </w:t>
      </w:r>
      <w:proofErr w:type="spellStart"/>
      <w:r>
        <w:rPr>
          <w:rFonts w:asciiTheme="minorHAnsi" w:hAnsiTheme="minorHAnsi" w:cstheme="minorHAnsi"/>
          <w:sz w:val="22"/>
          <w:szCs w:val="22"/>
        </w:rPr>
        <w:t>Fustamante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Gerente Sub Regional de Chota, abogado Zulema </w:t>
      </w:r>
      <w:proofErr w:type="spellStart"/>
      <w:r>
        <w:rPr>
          <w:rFonts w:asciiTheme="minorHAnsi" w:hAnsiTheme="minorHAnsi" w:cstheme="minorHAnsi"/>
          <w:sz w:val="22"/>
          <w:szCs w:val="22"/>
        </w:rPr>
        <w:t>Chilón</w:t>
      </w:r>
      <w:proofErr w:type="spellEnd"/>
      <w:r>
        <w:rPr>
          <w:rFonts w:asciiTheme="minorHAnsi" w:hAnsiTheme="minorHAnsi" w:cstheme="minorHAnsi"/>
          <w:sz w:val="22"/>
          <w:szCs w:val="22"/>
        </w:rPr>
        <w:t xml:space="preserve"> Pérez Gerente Sub Regional de Jaén, médico Marco Gamonal Guevara Gerente Regional de Desarrollo Social.</w:t>
      </w:r>
    </w:p>
    <w:p w:rsidR="00551E75" w:rsidRPr="009C7B3C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Pr="005804B4" w:rsidRDefault="00551E75" w:rsidP="00551E75">
      <w:pPr>
        <w:pStyle w:val="Prrafode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METODOLOGIA</w:t>
      </w:r>
    </w:p>
    <w:p w:rsidR="00551E75" w:rsidRPr="009C7B3C" w:rsidRDefault="00551E75" w:rsidP="00551E75">
      <w:pPr>
        <w:pStyle w:val="Prrafodelista"/>
        <w:ind w:left="0"/>
        <w:jc w:val="both"/>
        <w:rPr>
          <w:rFonts w:asciiTheme="minorHAnsi" w:eastAsia="+mn-ea" w:hAnsiTheme="minorHAnsi" w:cstheme="minorHAnsi"/>
          <w:bCs/>
          <w:sz w:val="22"/>
          <w:szCs w:val="22"/>
        </w:rPr>
      </w:pPr>
      <w:r w:rsidRPr="009C7B3C">
        <w:rPr>
          <w:rFonts w:asciiTheme="minorHAnsi" w:eastAsia="+mn-ea" w:hAnsiTheme="minorHAnsi" w:cstheme="minorHAnsi"/>
          <w:bCs/>
          <w:sz w:val="22"/>
          <w:szCs w:val="22"/>
        </w:rPr>
        <w:t>La secretaria técnica dio lectura al acta de la vigésima</w:t>
      </w:r>
      <w:r>
        <w:rPr>
          <w:rFonts w:asciiTheme="minorHAnsi" w:eastAsia="+mn-ea" w:hAnsiTheme="minorHAnsi" w:cstheme="minorHAnsi"/>
          <w:bCs/>
          <w:sz w:val="22"/>
          <w:szCs w:val="22"/>
        </w:rPr>
        <w:t xml:space="preserve"> cuarta</w:t>
      </w:r>
      <w:r w:rsidRPr="009C7B3C">
        <w:rPr>
          <w:rFonts w:asciiTheme="minorHAnsi" w:eastAsia="+mn-ea" w:hAnsiTheme="minorHAnsi" w:cstheme="minorHAnsi"/>
          <w:bCs/>
          <w:sz w:val="22"/>
          <w:szCs w:val="22"/>
        </w:rPr>
        <w:t xml:space="preserve"> sesión, fue aprobada sin observación</w:t>
      </w:r>
    </w:p>
    <w:p w:rsidR="00551E75" w:rsidRPr="009C7B3C" w:rsidRDefault="00551E75" w:rsidP="00551E75">
      <w:pPr>
        <w:pStyle w:val="Prrafodelista"/>
        <w:ind w:left="0"/>
        <w:jc w:val="both"/>
        <w:rPr>
          <w:rFonts w:asciiTheme="minorHAnsi" w:hAnsiTheme="minorHAnsi" w:cstheme="minorHAnsi"/>
          <w:bCs/>
          <w:sz w:val="22"/>
          <w:szCs w:val="22"/>
        </w:rPr>
      </w:pPr>
      <w:r>
        <w:rPr>
          <w:rFonts w:asciiTheme="minorHAnsi" w:hAnsiTheme="minorHAnsi" w:cstheme="minorHAnsi"/>
          <w:bCs/>
          <w:sz w:val="22"/>
          <w:szCs w:val="22"/>
        </w:rPr>
        <w:t>AGENDA:</w:t>
      </w:r>
      <w:r w:rsidRPr="009C7B3C">
        <w:rPr>
          <w:rFonts w:asciiTheme="minorHAnsi" w:hAnsiTheme="minorHAnsi" w:cstheme="minorHAnsi"/>
          <w:bCs/>
          <w:sz w:val="22"/>
          <w:szCs w:val="22"/>
        </w:rPr>
        <w:br/>
        <w:t>I. DESPACHO</w:t>
      </w:r>
    </w:p>
    <w:p w:rsidR="00551E75" w:rsidRPr="009C7B3C" w:rsidRDefault="00551E75" w:rsidP="00551E75">
      <w:pPr>
        <w:pStyle w:val="Prrafodelista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t>II. PRESENTACIÓN DE AVANCE PRESUPUESTAL POR UE</w:t>
      </w:r>
    </w:p>
    <w:p w:rsidR="00551E75" w:rsidRPr="00003F26" w:rsidRDefault="00551E75" w:rsidP="00551E75">
      <w:pPr>
        <w:pStyle w:val="Prrafodelista"/>
        <w:ind w:left="0"/>
        <w:rPr>
          <w:rFonts w:asciiTheme="minorHAnsi" w:hAnsiTheme="minorHAnsi" w:cstheme="minorHAnsi"/>
          <w:bCs/>
          <w:sz w:val="22"/>
          <w:szCs w:val="22"/>
        </w:rPr>
      </w:pPr>
      <w:r w:rsidRPr="009C7B3C">
        <w:rPr>
          <w:rFonts w:asciiTheme="minorHAnsi" w:hAnsiTheme="minorHAnsi" w:cstheme="minorHAnsi"/>
          <w:bCs/>
          <w:sz w:val="22"/>
          <w:szCs w:val="22"/>
        </w:rPr>
        <w:lastRenderedPageBreak/>
        <w:t>III.SEGUIMIENTO A LA CARTERA</w:t>
      </w:r>
      <w:r w:rsidRPr="009C7B3C">
        <w:rPr>
          <w:rFonts w:asciiTheme="minorHAnsi" w:hAnsiTheme="minorHAnsi" w:cstheme="minorHAnsi"/>
          <w:bCs/>
          <w:sz w:val="22"/>
          <w:szCs w:val="22"/>
        </w:rPr>
        <w:br/>
        <w:t>IV. ACUERDOS</w:t>
      </w:r>
      <w:r w:rsidRPr="009C7B3C">
        <w:rPr>
          <w:rFonts w:asciiTheme="minorHAnsi" w:hAnsiTheme="minorHAnsi" w:cstheme="minorHAnsi"/>
          <w:bCs/>
          <w:sz w:val="22"/>
          <w:szCs w:val="22"/>
        </w:rPr>
        <w:br/>
        <w:t>V.  PEDIDOS</w:t>
      </w:r>
    </w:p>
    <w:p w:rsidR="00551E75" w:rsidRPr="009C7B3C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615D12">
        <w:rPr>
          <w:rFonts w:asciiTheme="minorHAnsi" w:eastAsia="Arial Unicode MS" w:hAnsiTheme="minorHAnsi" w:cstheme="minorHAnsi"/>
          <w:b/>
          <w:bCs/>
          <w:sz w:val="22"/>
          <w:szCs w:val="22"/>
        </w:rPr>
        <w:t>DESARROLLO DE LA SESION</w:t>
      </w: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</w:r>
    </w:p>
    <w:p w:rsidR="00551E75" w:rsidRPr="009C7B3C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I.-</w:t>
      </w: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ab/>
        <w:t>DESPACHOS:</w:t>
      </w:r>
    </w:p>
    <w:p w:rsidR="00551E75" w:rsidRPr="009C7B3C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54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2693"/>
        <w:gridCol w:w="1559"/>
        <w:gridCol w:w="3634"/>
      </w:tblGrid>
      <w:tr w:rsidR="00551E75" w:rsidRPr="009C7B3C" w:rsidTr="000D6ABC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FECHA ENVIO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ASUNTO</w:t>
            </w:r>
          </w:p>
        </w:tc>
      </w:tr>
      <w:tr w:rsidR="00551E75" w:rsidRPr="009C7B3C" w:rsidTr="000D6ABC">
        <w:tc>
          <w:tcPr>
            <w:tcW w:w="165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E75" w:rsidRPr="009C7B3C" w:rsidRDefault="00551E75" w:rsidP="000D6ABC">
            <w:pPr>
              <w:pStyle w:val="Prrafodelista"/>
              <w:ind w:left="0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Enviados</w:t>
            </w:r>
          </w:p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Oficio Múltiple Nº 035</w:t>
            </w: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-2014-GR.CAJ-P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jc w:val="center"/>
              <w:rPr>
                <w:rFonts w:cstheme="minorHAnsi"/>
                <w:sz w:val="20"/>
                <w:szCs w:val="20"/>
                <w:lang w:eastAsia="zh-CN" w:bidi="hi-IN"/>
              </w:rPr>
            </w:pPr>
            <w:r>
              <w:rPr>
                <w:rFonts w:cstheme="minorHAnsi"/>
                <w:sz w:val="20"/>
                <w:szCs w:val="20"/>
                <w:lang w:eastAsia="zh-CN" w:bidi="hi-IN"/>
              </w:rPr>
              <w:t>03/10</w:t>
            </w:r>
            <w:r w:rsidRPr="00BE21A9">
              <w:rPr>
                <w:rFonts w:cstheme="minorHAnsi"/>
                <w:sz w:val="20"/>
                <w:szCs w:val="20"/>
                <w:lang w:eastAsia="zh-CN" w:bidi="hi-IN"/>
              </w:rPr>
              <w:t>/2014</w:t>
            </w:r>
          </w:p>
        </w:tc>
        <w:tc>
          <w:tcPr>
            <w:tcW w:w="363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 xml:space="preserve">Convocatoria a la </w:t>
            </w:r>
            <w:r>
              <w:rPr>
                <w:rFonts w:asciiTheme="minorHAnsi" w:eastAsia="Arial Unicode MS" w:hAnsiTheme="minorHAnsi" w:cstheme="minorHAnsi"/>
                <w:sz w:val="20"/>
                <w:szCs w:val="20"/>
              </w:rPr>
              <w:t>Trigésima reunión del CRI para el día 10-10</w:t>
            </w:r>
            <w:r w:rsidRPr="00BE21A9">
              <w:rPr>
                <w:rFonts w:asciiTheme="minorHAnsi" w:eastAsia="Arial Unicode MS" w:hAnsiTheme="minorHAnsi" w:cstheme="minorHAnsi"/>
                <w:sz w:val="20"/>
                <w:szCs w:val="20"/>
              </w:rPr>
              <w:t>-2014.</w:t>
            </w:r>
          </w:p>
        </w:tc>
      </w:tr>
      <w:tr w:rsidR="00551E75" w:rsidRPr="009C7B3C" w:rsidTr="000D6ABC">
        <w:tc>
          <w:tcPr>
            <w:tcW w:w="165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jc w:val="center"/>
              <w:rPr>
                <w:rFonts w:cstheme="minorHAnsi"/>
                <w:sz w:val="20"/>
                <w:szCs w:val="20"/>
                <w:lang w:eastAsia="zh-CN" w:bidi="hi-IN"/>
              </w:rPr>
            </w:pPr>
          </w:p>
        </w:tc>
        <w:tc>
          <w:tcPr>
            <w:tcW w:w="363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551E75" w:rsidRPr="009C7B3C" w:rsidRDefault="00551E75" w:rsidP="00551E75">
      <w:pPr>
        <w:pStyle w:val="Standard"/>
        <w:autoSpaceDE w:val="0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tbl>
      <w:tblPr>
        <w:tblW w:w="9480" w:type="dxa"/>
        <w:tblInd w:w="14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4"/>
        <w:gridCol w:w="2693"/>
        <w:gridCol w:w="1559"/>
        <w:gridCol w:w="3574"/>
      </w:tblGrid>
      <w:tr w:rsidR="00551E75" w:rsidRPr="009C7B3C" w:rsidTr="000D6ABC">
        <w:tc>
          <w:tcPr>
            <w:tcW w:w="16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RUBRO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DOCUMENTO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FECHA RECEPCIÓN</w:t>
            </w: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</w:pPr>
            <w:r w:rsidRPr="009C7B3C">
              <w:rPr>
                <w:rFonts w:asciiTheme="minorHAnsi" w:eastAsia="Arial Unicode MS" w:hAnsiTheme="minorHAnsi" w:cstheme="minorHAnsi"/>
                <w:b/>
                <w:bCs/>
                <w:sz w:val="22"/>
                <w:szCs w:val="22"/>
              </w:rPr>
              <w:t>ASUNTO</w:t>
            </w:r>
          </w:p>
        </w:tc>
      </w:tr>
      <w:tr w:rsidR="00551E75" w:rsidRPr="009C7B3C" w:rsidTr="000D6ABC">
        <w:tc>
          <w:tcPr>
            <w:tcW w:w="1654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  <w:proofErr w:type="spellStart"/>
            <w:r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  <w:t>Recepcionados</w:t>
            </w:r>
            <w:proofErr w:type="spell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  <w:tr w:rsidR="00551E75" w:rsidRPr="009C7B3C" w:rsidTr="000D6ABC">
        <w:tc>
          <w:tcPr>
            <w:tcW w:w="1654" w:type="dxa"/>
            <w:tcBorders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51E75" w:rsidRPr="009C7B3C" w:rsidRDefault="00551E75" w:rsidP="000D6ABC">
            <w:pPr>
              <w:pStyle w:val="Prrafodelista"/>
              <w:ind w:left="0"/>
              <w:jc w:val="center"/>
              <w:rPr>
                <w:rFonts w:asciiTheme="minorHAnsi" w:eastAsia="Arial Unicode MS" w:hAnsiTheme="minorHAnsi" w:cstheme="minorHAnsi"/>
                <w:bCs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center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  <w:tc>
          <w:tcPr>
            <w:tcW w:w="3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51E75" w:rsidRPr="00BE21A9" w:rsidRDefault="00551E75" w:rsidP="000D6ABC">
            <w:pPr>
              <w:pStyle w:val="Standard"/>
              <w:autoSpaceDE w:val="0"/>
              <w:jc w:val="both"/>
              <w:rPr>
                <w:rFonts w:asciiTheme="minorHAnsi" w:eastAsia="Arial Unicode MS" w:hAnsiTheme="minorHAnsi" w:cstheme="minorHAnsi"/>
                <w:sz w:val="20"/>
                <w:szCs w:val="20"/>
              </w:rPr>
            </w:pPr>
          </w:p>
        </w:tc>
      </w:tr>
    </w:tbl>
    <w:p w:rsidR="00551E75" w:rsidRPr="009C7B3C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51E75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51E75" w:rsidRPr="009C7B3C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9C7B3C">
        <w:rPr>
          <w:rFonts w:asciiTheme="minorHAnsi" w:eastAsia="Arial Unicode MS" w:hAnsiTheme="minorHAnsi" w:cstheme="minorHAnsi"/>
          <w:b/>
          <w:bCs/>
          <w:sz w:val="22"/>
          <w:szCs w:val="22"/>
        </w:rPr>
        <w:t>II. AGENDA DESARROLLADA</w:t>
      </w:r>
    </w:p>
    <w:p w:rsidR="00551E75" w:rsidRPr="009C7B3C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51E75" w:rsidRPr="00626A68" w:rsidRDefault="00551E75" w:rsidP="00551E7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2.1 </w:t>
      </w:r>
      <w:r w:rsidRPr="00626A68">
        <w:rPr>
          <w:rFonts w:cstheme="minorHAnsi"/>
          <w:b/>
        </w:rPr>
        <w:t xml:space="preserve">PRESENTACION DE LOS AVANCES DE EJECUCION PRESUPUESTAL POR UE DENTRO DEL PLIEGO GR CAJAMARCA. </w:t>
      </w:r>
    </w:p>
    <w:p w:rsidR="00551E75" w:rsidRPr="009C7B3C" w:rsidRDefault="00551E75" w:rsidP="00551E75">
      <w:pPr>
        <w:spacing w:after="0" w:line="240" w:lineRule="auto"/>
        <w:rPr>
          <w:rFonts w:cstheme="minorHAnsi"/>
        </w:rPr>
      </w:pP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 w:rsidRPr="009C7B3C">
        <w:rPr>
          <w:rFonts w:cstheme="minorHAnsi"/>
        </w:rPr>
        <w:t xml:space="preserve">La exposición de avances de ejecución presupuestal ha sido presentada </w:t>
      </w:r>
      <w:r>
        <w:rPr>
          <w:rFonts w:cstheme="minorHAnsi"/>
        </w:rPr>
        <w:t xml:space="preserve">por el Gerente Regional de  Presupuesto y AT, Econ. Luis Vallejo Portal, </w:t>
      </w:r>
      <w:r w:rsidRPr="009C7B3C">
        <w:rPr>
          <w:rFonts w:cstheme="minorHAnsi"/>
        </w:rPr>
        <w:t xml:space="preserve">presentó los reportes de Ejecución Presupuestal del Pliego GR Cajamarca al </w:t>
      </w:r>
      <w:r>
        <w:rPr>
          <w:rFonts w:cstheme="minorHAnsi"/>
        </w:rPr>
        <w:t>09</w:t>
      </w:r>
      <w:r w:rsidRPr="009C7B3C">
        <w:rPr>
          <w:rFonts w:cstheme="minorHAnsi"/>
        </w:rPr>
        <w:t>-</w:t>
      </w:r>
      <w:r>
        <w:rPr>
          <w:rFonts w:cstheme="minorHAnsi"/>
        </w:rPr>
        <w:t>10</w:t>
      </w:r>
      <w:r w:rsidRPr="009C7B3C">
        <w:rPr>
          <w:rFonts w:cstheme="minorHAnsi"/>
        </w:rPr>
        <w:t>-201</w:t>
      </w:r>
      <w:r>
        <w:rPr>
          <w:rFonts w:cstheme="minorHAnsi"/>
        </w:rPr>
        <w:t>4</w:t>
      </w:r>
      <w:r w:rsidRPr="009C7B3C">
        <w:rPr>
          <w:rFonts w:cstheme="minorHAnsi"/>
        </w:rPr>
        <w:t>, con la siguiente información: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</w:p>
    <w:p w:rsidR="00551E75" w:rsidRPr="003A33C8" w:rsidRDefault="00551E75" w:rsidP="00551E75">
      <w:pPr>
        <w:spacing w:after="0" w:line="240" w:lineRule="auto"/>
        <w:jc w:val="center"/>
        <w:rPr>
          <w:rFonts w:cstheme="minorHAnsi"/>
          <w:b/>
          <w:sz w:val="24"/>
        </w:rPr>
      </w:pPr>
      <w:r w:rsidRPr="003A33C8">
        <w:rPr>
          <w:rFonts w:cstheme="minorHAnsi"/>
          <w:b/>
          <w:sz w:val="24"/>
        </w:rPr>
        <w:t>EJECUCIÓN PRESUPUESTAL DE INVERSIONES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 w:rsidRPr="002A12E7">
        <w:rPr>
          <w:rFonts w:cstheme="minorHAnsi"/>
          <w:noProof/>
          <w:lang w:eastAsia="es-PE"/>
        </w:rPr>
        <w:drawing>
          <wp:inline distT="0" distB="0" distL="0" distR="0" wp14:anchorId="2803017E" wp14:editId="165D0D3A">
            <wp:extent cx="5612130" cy="1201420"/>
            <wp:effectExtent l="0" t="0" r="7620" b="0"/>
            <wp:docPr id="1026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6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201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 w:rsidRPr="002A12E7">
        <w:rPr>
          <w:rFonts w:cstheme="minorHAnsi"/>
          <w:noProof/>
          <w:lang w:eastAsia="es-PE"/>
        </w:rPr>
        <w:drawing>
          <wp:inline distT="0" distB="0" distL="0" distR="0" wp14:anchorId="0AD1245E" wp14:editId="146CE9C4">
            <wp:extent cx="5612130" cy="1869440"/>
            <wp:effectExtent l="0" t="0" r="7620" b="0"/>
            <wp:docPr id="1027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27" name="Picture 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2130" cy="18694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  <a:extLst/>
                  </pic:spPr>
                </pic:pic>
              </a:graphicData>
            </a:graphic>
          </wp:inline>
        </w:drawing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</w:p>
    <w:p w:rsidR="00551E75" w:rsidRPr="003A33C8" w:rsidRDefault="00551E75" w:rsidP="00551E75">
      <w:pPr>
        <w:spacing w:after="0" w:line="240" w:lineRule="auto"/>
        <w:jc w:val="center"/>
        <w:rPr>
          <w:rFonts w:cstheme="minorHAnsi"/>
          <w:b/>
        </w:rPr>
      </w:pPr>
      <w:r w:rsidRPr="003A33C8">
        <w:rPr>
          <w:rFonts w:cstheme="minorHAnsi"/>
          <w:b/>
        </w:rPr>
        <w:t>EJECUCIÓN DEL GASTO DE INVERSIÓN POR UNIDADES EJECUTORAS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</w:p>
    <w:tbl>
      <w:tblPr>
        <w:tblW w:w="0" w:type="auto"/>
        <w:jc w:val="center"/>
        <w:tblInd w:w="-336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595"/>
        <w:gridCol w:w="1290"/>
        <w:gridCol w:w="1191"/>
        <w:gridCol w:w="1183"/>
        <w:gridCol w:w="948"/>
        <w:gridCol w:w="1426"/>
      </w:tblGrid>
      <w:tr w:rsidR="00551E75" w:rsidRPr="00442B59" w:rsidTr="000D6ABC">
        <w:trPr>
          <w:trHeight w:val="794"/>
          <w:jc w:val="center"/>
        </w:trPr>
        <w:tc>
          <w:tcPr>
            <w:tcW w:w="15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A6EA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442B59"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  <w:t>Unidad Ejecutora</w:t>
            </w:r>
          </w:p>
        </w:tc>
        <w:tc>
          <w:tcPr>
            <w:tcW w:w="12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A6EA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  <w:t>PIA</w:t>
            </w:r>
          </w:p>
        </w:tc>
        <w:tc>
          <w:tcPr>
            <w:tcW w:w="11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A6EA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  <w:t>PIM</w:t>
            </w:r>
          </w:p>
        </w:tc>
        <w:tc>
          <w:tcPr>
            <w:tcW w:w="11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A6EA5"/>
          </w:tcPr>
          <w:p w:rsidR="00551E75" w:rsidRDefault="00551E75" w:rsidP="000D6ABC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</w:pPr>
          </w:p>
          <w:p w:rsidR="00551E75" w:rsidRDefault="00551E75" w:rsidP="000D6ABC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</w:pPr>
          </w:p>
          <w:p w:rsidR="00551E75" w:rsidRDefault="00551E75" w:rsidP="000D6ABC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  <w:t>Devengado</w:t>
            </w:r>
          </w:p>
        </w:tc>
        <w:tc>
          <w:tcPr>
            <w:tcW w:w="9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A6EA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  <w:t>Avance</w:t>
            </w:r>
            <w:r w:rsidRPr="00442B59"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  <w:br/>
            </w:r>
          </w:p>
        </w:tc>
        <w:tc>
          <w:tcPr>
            <w:tcW w:w="14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3A6EA5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240" w:lineRule="auto"/>
              <w:jc w:val="center"/>
              <w:textAlignment w:val="center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  <w:t>Saldo</w:t>
            </w:r>
            <w:r w:rsidRPr="00442B59">
              <w:rPr>
                <w:rFonts w:ascii="Arial Narrow" w:eastAsia="Times New Roman" w:hAnsi="Arial Narrow" w:cs="Calibri"/>
                <w:b/>
                <w:bCs/>
                <w:color w:val="FFFFFF"/>
                <w:kern w:val="24"/>
                <w:sz w:val="18"/>
                <w:szCs w:val="18"/>
                <w:lang w:eastAsia="es-PE"/>
              </w:rPr>
              <w:br/>
              <w:t>l</w:t>
            </w:r>
          </w:p>
        </w:tc>
      </w:tr>
      <w:tr w:rsidR="00551E75" w:rsidRPr="00442B59" w:rsidTr="000D6ABC">
        <w:trPr>
          <w:trHeight w:val="342"/>
          <w:jc w:val="center"/>
        </w:trPr>
        <w:tc>
          <w:tcPr>
            <w:tcW w:w="15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342" w:lineRule="atLeas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442B59">
              <w:rPr>
                <w:rFonts w:ascii="Arial Narrow" w:eastAsia="Times New Roman" w:hAnsi="Arial Narrow" w:cs="Calibri"/>
                <w:color w:val="000000"/>
                <w:kern w:val="24"/>
                <w:sz w:val="18"/>
                <w:szCs w:val="18"/>
                <w:lang w:eastAsia="es-PE"/>
              </w:rPr>
              <w:t>SEDE CENTRAL</w:t>
            </w:r>
          </w:p>
        </w:tc>
        <w:tc>
          <w:tcPr>
            <w:tcW w:w="12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42,137,016</w:t>
            </w:r>
          </w:p>
        </w:tc>
        <w:tc>
          <w:tcPr>
            <w:tcW w:w="11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62,479,655</w:t>
            </w:r>
          </w:p>
        </w:tc>
        <w:tc>
          <w:tcPr>
            <w:tcW w:w="11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51E75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21,503,234</w:t>
            </w:r>
          </w:p>
        </w:tc>
        <w:tc>
          <w:tcPr>
            <w:tcW w:w="9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34.4 %</w:t>
            </w:r>
          </w:p>
        </w:tc>
        <w:tc>
          <w:tcPr>
            <w:tcW w:w="14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40,976,421</w:t>
            </w:r>
          </w:p>
        </w:tc>
      </w:tr>
      <w:tr w:rsidR="00551E75" w:rsidRPr="00442B59" w:rsidTr="000D6ABC">
        <w:trPr>
          <w:trHeight w:val="342"/>
          <w:jc w:val="center"/>
        </w:trPr>
        <w:tc>
          <w:tcPr>
            <w:tcW w:w="15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342" w:lineRule="atLeas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442B59">
              <w:rPr>
                <w:rFonts w:ascii="Arial Narrow" w:eastAsia="Times New Roman" w:hAnsi="Arial Narrow" w:cs="Calibri"/>
                <w:color w:val="000000"/>
                <w:kern w:val="24"/>
                <w:sz w:val="18"/>
                <w:szCs w:val="18"/>
                <w:lang w:eastAsia="es-PE"/>
              </w:rPr>
              <w:t>CHOTA</w:t>
            </w:r>
          </w:p>
        </w:tc>
        <w:tc>
          <w:tcPr>
            <w:tcW w:w="12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7,092,386</w:t>
            </w:r>
          </w:p>
        </w:tc>
        <w:tc>
          <w:tcPr>
            <w:tcW w:w="11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14,354,160</w:t>
            </w:r>
          </w:p>
        </w:tc>
        <w:tc>
          <w:tcPr>
            <w:tcW w:w="11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7,177,582</w:t>
            </w:r>
          </w:p>
        </w:tc>
        <w:tc>
          <w:tcPr>
            <w:tcW w:w="9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50.0 %</w:t>
            </w:r>
          </w:p>
        </w:tc>
        <w:tc>
          <w:tcPr>
            <w:tcW w:w="14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7,176,578</w:t>
            </w:r>
          </w:p>
        </w:tc>
      </w:tr>
      <w:tr w:rsidR="00551E75" w:rsidRPr="00442B59" w:rsidTr="000D6ABC">
        <w:trPr>
          <w:trHeight w:val="342"/>
          <w:jc w:val="center"/>
        </w:trPr>
        <w:tc>
          <w:tcPr>
            <w:tcW w:w="15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342" w:lineRule="atLeas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442B59">
              <w:rPr>
                <w:rFonts w:ascii="Arial Narrow" w:eastAsia="Times New Roman" w:hAnsi="Arial Narrow" w:cs="Calibri"/>
                <w:color w:val="000000"/>
                <w:kern w:val="24"/>
                <w:sz w:val="18"/>
                <w:szCs w:val="18"/>
                <w:lang w:eastAsia="es-PE"/>
              </w:rPr>
              <w:t>CUTERVO</w:t>
            </w:r>
          </w:p>
        </w:tc>
        <w:tc>
          <w:tcPr>
            <w:tcW w:w="12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8,570,000</w:t>
            </w:r>
          </w:p>
        </w:tc>
        <w:tc>
          <w:tcPr>
            <w:tcW w:w="11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21,734,755</w:t>
            </w:r>
          </w:p>
        </w:tc>
        <w:tc>
          <w:tcPr>
            <w:tcW w:w="11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11,708,567</w:t>
            </w:r>
          </w:p>
        </w:tc>
        <w:tc>
          <w:tcPr>
            <w:tcW w:w="9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54.0 %</w:t>
            </w:r>
          </w:p>
        </w:tc>
        <w:tc>
          <w:tcPr>
            <w:tcW w:w="14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10,026,188</w:t>
            </w:r>
          </w:p>
        </w:tc>
      </w:tr>
      <w:tr w:rsidR="00551E75" w:rsidRPr="00442B59" w:rsidTr="000D6ABC">
        <w:trPr>
          <w:trHeight w:val="342"/>
          <w:jc w:val="center"/>
        </w:trPr>
        <w:tc>
          <w:tcPr>
            <w:tcW w:w="15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342" w:lineRule="atLeas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442B59">
              <w:rPr>
                <w:rFonts w:ascii="Arial Narrow" w:eastAsia="Times New Roman" w:hAnsi="Arial Narrow" w:cs="Calibri"/>
                <w:color w:val="000000"/>
                <w:kern w:val="24"/>
                <w:sz w:val="18"/>
                <w:szCs w:val="18"/>
                <w:lang w:eastAsia="es-PE"/>
              </w:rPr>
              <w:t>JAEN</w:t>
            </w:r>
          </w:p>
        </w:tc>
        <w:tc>
          <w:tcPr>
            <w:tcW w:w="12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8,091,023</w:t>
            </w:r>
          </w:p>
        </w:tc>
        <w:tc>
          <w:tcPr>
            <w:tcW w:w="11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15,306,164</w:t>
            </w:r>
          </w:p>
        </w:tc>
        <w:tc>
          <w:tcPr>
            <w:tcW w:w="11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7,621,547</w:t>
            </w:r>
          </w:p>
        </w:tc>
        <w:tc>
          <w:tcPr>
            <w:tcW w:w="9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49.8 %</w:t>
            </w:r>
          </w:p>
        </w:tc>
        <w:tc>
          <w:tcPr>
            <w:tcW w:w="14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7,684,617</w:t>
            </w:r>
          </w:p>
        </w:tc>
      </w:tr>
      <w:tr w:rsidR="00551E75" w:rsidRPr="00442B59" w:rsidTr="000D6ABC">
        <w:trPr>
          <w:trHeight w:val="342"/>
          <w:jc w:val="center"/>
        </w:trPr>
        <w:tc>
          <w:tcPr>
            <w:tcW w:w="15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342" w:lineRule="atLeas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442B59">
              <w:rPr>
                <w:rFonts w:ascii="Arial Narrow" w:eastAsia="Times New Roman" w:hAnsi="Arial Narrow" w:cs="Calibri"/>
                <w:color w:val="000000"/>
                <w:kern w:val="24"/>
                <w:sz w:val="18"/>
                <w:szCs w:val="18"/>
                <w:lang w:eastAsia="es-PE"/>
              </w:rPr>
              <w:t>PRO REGION</w:t>
            </w:r>
          </w:p>
        </w:tc>
        <w:tc>
          <w:tcPr>
            <w:tcW w:w="12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40,398,385</w:t>
            </w:r>
          </w:p>
        </w:tc>
        <w:tc>
          <w:tcPr>
            <w:tcW w:w="11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86,311,962</w:t>
            </w:r>
          </w:p>
        </w:tc>
        <w:tc>
          <w:tcPr>
            <w:tcW w:w="11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36,697,617</w:t>
            </w:r>
          </w:p>
        </w:tc>
        <w:tc>
          <w:tcPr>
            <w:tcW w:w="9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42.5 %</w:t>
            </w:r>
          </w:p>
        </w:tc>
        <w:tc>
          <w:tcPr>
            <w:tcW w:w="14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49,614,345</w:t>
            </w:r>
          </w:p>
        </w:tc>
      </w:tr>
      <w:tr w:rsidR="00551E75" w:rsidRPr="00442B59" w:rsidTr="000D6ABC">
        <w:trPr>
          <w:trHeight w:val="342"/>
          <w:jc w:val="center"/>
        </w:trPr>
        <w:tc>
          <w:tcPr>
            <w:tcW w:w="15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4" w:type="dxa"/>
              <w:left w:w="113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342" w:lineRule="atLeas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442B59">
              <w:rPr>
                <w:rFonts w:ascii="Arial Narrow" w:eastAsia="Times New Roman" w:hAnsi="Arial Narrow" w:cs="Calibri"/>
                <w:color w:val="000000"/>
                <w:kern w:val="24"/>
                <w:sz w:val="18"/>
                <w:szCs w:val="18"/>
                <w:lang w:eastAsia="es-PE"/>
              </w:rPr>
              <w:t>AGRICULTURA</w:t>
            </w:r>
          </w:p>
        </w:tc>
        <w:tc>
          <w:tcPr>
            <w:tcW w:w="12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3,483,175</w:t>
            </w:r>
          </w:p>
        </w:tc>
        <w:tc>
          <w:tcPr>
            <w:tcW w:w="11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12,694,332</w:t>
            </w:r>
          </w:p>
        </w:tc>
        <w:tc>
          <w:tcPr>
            <w:tcW w:w="11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5,888,250</w:t>
            </w:r>
          </w:p>
        </w:tc>
        <w:tc>
          <w:tcPr>
            <w:tcW w:w="9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46.0 %</w:t>
            </w:r>
          </w:p>
        </w:tc>
        <w:tc>
          <w:tcPr>
            <w:tcW w:w="14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6,806,082</w:t>
            </w:r>
          </w:p>
        </w:tc>
      </w:tr>
      <w:tr w:rsidR="00551E75" w:rsidRPr="00442B59" w:rsidTr="000D6ABC">
        <w:trPr>
          <w:trHeight w:val="342"/>
          <w:jc w:val="center"/>
        </w:trPr>
        <w:tc>
          <w:tcPr>
            <w:tcW w:w="1595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4" w:type="dxa"/>
              <w:left w:w="14" w:type="dxa"/>
              <w:bottom w:w="0" w:type="dxa"/>
              <w:right w:w="14" w:type="dxa"/>
            </w:tcMar>
            <w:vAlign w:val="center"/>
            <w:hideMark/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 w:rsidRPr="00442B59">
              <w:rPr>
                <w:rFonts w:ascii="Arial Narrow" w:eastAsia="Times New Roman" w:hAnsi="Arial Narrow" w:cs="Calibri"/>
                <w:b/>
                <w:bCs/>
                <w:color w:val="000000"/>
                <w:kern w:val="24"/>
                <w:sz w:val="18"/>
                <w:szCs w:val="18"/>
                <w:lang w:eastAsia="es-PE"/>
              </w:rPr>
              <w:t>TOTAL</w:t>
            </w:r>
          </w:p>
        </w:tc>
        <w:tc>
          <w:tcPr>
            <w:tcW w:w="1290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109,771,985</w:t>
            </w:r>
          </w:p>
        </w:tc>
        <w:tc>
          <w:tcPr>
            <w:tcW w:w="1191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212,881,028</w:t>
            </w:r>
          </w:p>
        </w:tc>
        <w:tc>
          <w:tcPr>
            <w:tcW w:w="1183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90,596,797</w:t>
            </w:r>
          </w:p>
        </w:tc>
        <w:tc>
          <w:tcPr>
            <w:tcW w:w="948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center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</w:p>
        </w:tc>
        <w:tc>
          <w:tcPr>
            <w:tcW w:w="1426" w:type="dxa"/>
            <w:tcBorders>
              <w:top w:val="single" w:sz="8" w:space="0" w:color="DDDDDD"/>
              <w:left w:val="single" w:sz="8" w:space="0" w:color="DDDDDD"/>
              <w:bottom w:val="single" w:sz="8" w:space="0" w:color="DDDDDD"/>
              <w:right w:val="single" w:sz="8" w:space="0" w:color="DDDDDD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13" w:type="dxa"/>
            </w:tcMar>
            <w:vAlign w:val="center"/>
          </w:tcPr>
          <w:p w:rsidR="00551E75" w:rsidRPr="00442B59" w:rsidRDefault="00551E75" w:rsidP="000D6ABC">
            <w:pPr>
              <w:spacing w:after="0" w:line="342" w:lineRule="atLeast"/>
              <w:jc w:val="right"/>
              <w:textAlignment w:val="bottom"/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</w:pPr>
            <w:r>
              <w:rPr>
                <w:rFonts w:ascii="Arial Narrow" w:eastAsia="Times New Roman" w:hAnsi="Arial Narrow" w:cs="Arial"/>
                <w:sz w:val="18"/>
                <w:szCs w:val="18"/>
                <w:lang w:eastAsia="es-PE"/>
              </w:rPr>
              <w:t>122,284,231</w:t>
            </w:r>
          </w:p>
        </w:tc>
      </w:tr>
    </w:tbl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Luego de realizada la presentación </w:t>
      </w:r>
      <w:r w:rsidRPr="00281D2E">
        <w:rPr>
          <w:rFonts w:cstheme="minorHAnsi"/>
          <w:b/>
        </w:rPr>
        <w:t>SE ACORDÓ</w:t>
      </w:r>
      <w:r>
        <w:rPr>
          <w:rFonts w:cstheme="minorHAnsi"/>
        </w:rPr>
        <w:t>: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</w:p>
    <w:p w:rsidR="00707D66" w:rsidRDefault="00551E75" w:rsidP="00707D66">
      <w:pPr>
        <w:spacing w:after="0" w:line="240" w:lineRule="auto"/>
        <w:jc w:val="both"/>
        <w:rPr>
          <w:rFonts w:cstheme="minorHAnsi"/>
          <w:color w:val="632423" w:themeColor="accent2" w:themeShade="80"/>
        </w:rPr>
      </w:pPr>
      <w:r w:rsidRPr="00134370">
        <w:rPr>
          <w:rFonts w:cstheme="minorHAnsi"/>
          <w:b/>
          <w:color w:val="632423" w:themeColor="accent2" w:themeShade="80"/>
        </w:rPr>
        <w:t xml:space="preserve">Acuerdo 1 CRI </w:t>
      </w:r>
      <w:r>
        <w:rPr>
          <w:rFonts w:cstheme="minorHAnsi"/>
          <w:b/>
          <w:color w:val="632423" w:themeColor="accent2" w:themeShade="80"/>
        </w:rPr>
        <w:t>30</w:t>
      </w:r>
      <w:r w:rsidRPr="00134370">
        <w:rPr>
          <w:rFonts w:cstheme="minorHAnsi"/>
          <w:b/>
          <w:color w:val="632423" w:themeColor="accent2" w:themeShade="80"/>
        </w:rPr>
        <w:t xml:space="preserve">: </w:t>
      </w:r>
      <w:r w:rsidRPr="00674F8F">
        <w:rPr>
          <w:rFonts w:cstheme="minorHAnsi"/>
          <w:color w:val="632423" w:themeColor="accent2" w:themeShade="80"/>
        </w:rPr>
        <w:t>Que</w:t>
      </w:r>
      <w:r>
        <w:rPr>
          <w:rFonts w:cstheme="minorHAnsi"/>
          <w:color w:val="632423" w:themeColor="accent2" w:themeShade="80"/>
        </w:rPr>
        <w:t xml:space="preserve"> </w:t>
      </w:r>
      <w:r w:rsidR="003F1CD7">
        <w:rPr>
          <w:rFonts w:cstheme="minorHAnsi"/>
          <w:color w:val="632423" w:themeColor="accent2" w:themeShade="80"/>
        </w:rPr>
        <w:t>las Unidades Ejecutoras cumplan con lo planteado en al presente reunión del CRI, en lo referente a la</w:t>
      </w:r>
      <w:r>
        <w:rPr>
          <w:rFonts w:cstheme="minorHAnsi"/>
          <w:color w:val="632423" w:themeColor="accent2" w:themeShade="80"/>
        </w:rPr>
        <w:t xml:space="preserve"> present</w:t>
      </w:r>
      <w:r w:rsidR="003F1CD7">
        <w:rPr>
          <w:rFonts w:cstheme="minorHAnsi"/>
          <w:color w:val="632423" w:themeColor="accent2" w:themeShade="80"/>
        </w:rPr>
        <w:t>ación de</w:t>
      </w:r>
      <w:r>
        <w:rPr>
          <w:rFonts w:cstheme="minorHAnsi"/>
          <w:color w:val="632423" w:themeColor="accent2" w:themeShade="80"/>
        </w:rPr>
        <w:t xml:space="preserve"> su programación de devengados por proyecto </w:t>
      </w:r>
      <w:r w:rsidR="003F1CD7">
        <w:rPr>
          <w:rFonts w:cstheme="minorHAnsi"/>
          <w:color w:val="632423" w:themeColor="accent2" w:themeShade="80"/>
        </w:rPr>
        <w:t xml:space="preserve">concerniente a los Recursos Ordinarios </w:t>
      </w:r>
      <w:r>
        <w:rPr>
          <w:rFonts w:cstheme="minorHAnsi"/>
          <w:color w:val="632423" w:themeColor="accent2" w:themeShade="80"/>
        </w:rPr>
        <w:t>hasta el mes de diciembre del 2014, dicha información deben alcanzarla como máximo al miércoles 15 de octubre, bajo responsabilidad.</w:t>
      </w:r>
      <w:r w:rsidR="00707D66">
        <w:rPr>
          <w:rFonts w:cstheme="minorHAnsi"/>
          <w:color w:val="632423" w:themeColor="accent2" w:themeShade="80"/>
        </w:rPr>
        <w:t xml:space="preserve"> </w:t>
      </w:r>
      <w:proofErr w:type="gramStart"/>
      <w:r w:rsidR="00707D66">
        <w:rPr>
          <w:rFonts w:cstheme="minorHAnsi"/>
          <w:color w:val="632423" w:themeColor="accent2" w:themeShade="80"/>
        </w:rPr>
        <w:t>a</w:t>
      </w:r>
      <w:proofErr w:type="gramEnd"/>
      <w:r w:rsidR="00707D66">
        <w:rPr>
          <w:rFonts w:cstheme="minorHAnsi"/>
          <w:color w:val="632423" w:themeColor="accent2" w:themeShade="80"/>
        </w:rPr>
        <w:t xml:space="preserve"> la Gerencia Regional de Planificación, presupuesto y Acondicionamiento Territorial.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  <w:color w:val="632423" w:themeColor="accent2" w:themeShade="80"/>
        </w:rPr>
      </w:pPr>
    </w:p>
    <w:p w:rsidR="00551E75" w:rsidRPr="00935321" w:rsidRDefault="00551E75" w:rsidP="00551E75">
      <w:pPr>
        <w:spacing w:after="0" w:line="240" w:lineRule="auto"/>
        <w:jc w:val="both"/>
        <w:rPr>
          <w:rFonts w:cstheme="minorHAnsi"/>
          <w:color w:val="632423" w:themeColor="accent2" w:themeShade="80"/>
        </w:rPr>
      </w:pPr>
      <w:r>
        <w:rPr>
          <w:rFonts w:cstheme="minorHAnsi"/>
          <w:color w:val="632423" w:themeColor="accent2" w:themeShade="80"/>
        </w:rPr>
        <w:t xml:space="preserve"> </w:t>
      </w:r>
    </w:p>
    <w:p w:rsidR="00551E75" w:rsidRPr="00626A68" w:rsidRDefault="00551E75" w:rsidP="00551E7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2.2 </w:t>
      </w:r>
      <w:r w:rsidRPr="00626A68">
        <w:rPr>
          <w:rFonts w:cstheme="minorHAnsi"/>
          <w:b/>
        </w:rPr>
        <w:t xml:space="preserve">SEGUIMIENTO DE ACUERDOS Y COMPROMISOS DE LA VIGÉSIMA </w:t>
      </w:r>
      <w:r>
        <w:rPr>
          <w:rFonts w:cstheme="minorHAnsi"/>
          <w:b/>
        </w:rPr>
        <w:t>NOVENA SESIÓ</w:t>
      </w:r>
      <w:r w:rsidRPr="00626A68">
        <w:rPr>
          <w:rFonts w:cstheme="minorHAnsi"/>
          <w:b/>
        </w:rPr>
        <w:t xml:space="preserve">N CRI </w:t>
      </w:r>
    </w:p>
    <w:p w:rsidR="00551E75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51E75" w:rsidRPr="00A071EE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A071EE">
        <w:rPr>
          <w:rFonts w:asciiTheme="minorHAnsi" w:eastAsia="Arial Unicode MS" w:hAnsiTheme="minorHAnsi" w:cstheme="minorHAnsi"/>
          <w:b/>
          <w:bCs/>
          <w:sz w:val="22"/>
          <w:szCs w:val="22"/>
        </w:rPr>
        <w:t>ELECTRIFICACION RURAL PARTE MARGEN DERECHA E IZQUIERDA RIO CHINCHIPE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Gerente de Jaén abogado Zulema </w:t>
      </w:r>
      <w:proofErr w:type="spellStart"/>
      <w:r>
        <w:rPr>
          <w:rFonts w:cstheme="minorHAnsi"/>
        </w:rPr>
        <w:t>Chilón</w:t>
      </w:r>
      <w:proofErr w:type="spellEnd"/>
      <w:r>
        <w:rPr>
          <w:rFonts w:cstheme="minorHAnsi"/>
        </w:rPr>
        <w:t xml:space="preserve"> Pérez ha debido de comunicar si se ha concluido a fines del mes de setiembre la tr</w:t>
      </w:r>
      <w:r w:rsidR="003F1CD7">
        <w:rPr>
          <w:rFonts w:cstheme="minorHAnsi"/>
        </w:rPr>
        <w:t>ansferencia  a Electro Norte. (</w:t>
      </w:r>
      <w:proofErr w:type="gramStart"/>
      <w:r>
        <w:rPr>
          <w:rFonts w:cstheme="minorHAnsi"/>
        </w:rPr>
        <w:t>no</w:t>
      </w:r>
      <w:proofErr w:type="gramEnd"/>
      <w:r>
        <w:rPr>
          <w:rFonts w:cstheme="minorHAnsi"/>
        </w:rPr>
        <w:t xml:space="preserve"> existe informe).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 w:rsidRPr="00C12085">
        <w:rPr>
          <w:rFonts w:cstheme="minorHAnsi"/>
          <w:b/>
        </w:rPr>
        <w:t>Acuerdo 2 CRI 30</w:t>
      </w:r>
      <w:r>
        <w:rPr>
          <w:rFonts w:cstheme="minorHAnsi"/>
        </w:rPr>
        <w:t xml:space="preserve">.- que la </w:t>
      </w:r>
      <w:r w:rsidR="003F1CD7">
        <w:rPr>
          <w:rFonts w:cstheme="minorHAnsi"/>
        </w:rPr>
        <w:t>Gerente S</w:t>
      </w:r>
      <w:r>
        <w:rPr>
          <w:rFonts w:cstheme="minorHAnsi"/>
        </w:rPr>
        <w:t xml:space="preserve">ub Regional de Jaén informe </w:t>
      </w:r>
      <w:r w:rsidR="003F1CD7">
        <w:rPr>
          <w:rFonts w:cstheme="minorHAnsi"/>
        </w:rPr>
        <w:t xml:space="preserve">a la Gerencia General Regional </w:t>
      </w:r>
      <w:r>
        <w:rPr>
          <w:rFonts w:cstheme="minorHAnsi"/>
        </w:rPr>
        <w:t>sobre la situación actual del PIP</w:t>
      </w:r>
      <w:r w:rsidR="003F1CD7">
        <w:rPr>
          <w:rFonts w:cstheme="minorHAnsi"/>
        </w:rPr>
        <w:t xml:space="preserve"> en forma urgente</w:t>
      </w:r>
      <w:r>
        <w:rPr>
          <w:rFonts w:cstheme="minorHAnsi"/>
        </w:rPr>
        <w:t xml:space="preserve">. </w:t>
      </w:r>
    </w:p>
    <w:p w:rsidR="00551E75" w:rsidRPr="00A071EE" w:rsidRDefault="00551E75" w:rsidP="00551E75">
      <w:pPr>
        <w:spacing w:after="0" w:line="240" w:lineRule="auto"/>
        <w:jc w:val="both"/>
        <w:rPr>
          <w:rFonts w:cstheme="minorHAnsi"/>
        </w:rPr>
      </w:pPr>
    </w:p>
    <w:p w:rsidR="00551E75" w:rsidRPr="00A071EE" w:rsidRDefault="00551E75" w:rsidP="00551E75">
      <w:pPr>
        <w:spacing w:after="0" w:line="240" w:lineRule="auto"/>
        <w:jc w:val="both"/>
        <w:rPr>
          <w:rFonts w:eastAsia="Times New Roman" w:cs="Times New Roman"/>
          <w:b/>
          <w:lang w:eastAsia="es-PE"/>
        </w:rPr>
      </w:pPr>
      <w:r w:rsidRPr="00A071EE">
        <w:rPr>
          <w:rFonts w:eastAsia="Times New Roman" w:cs="Times New Roman"/>
          <w:b/>
          <w:lang w:eastAsia="es-PE"/>
        </w:rPr>
        <w:t>ELECTRIFICACION RURAL DEL DISTRITO DE GREGORIO PITA II ETAPA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 programa dar la buena pro al 18-10-2014 y seguir con el proceso de contratación de supervisión. Cumplió.</w:t>
      </w:r>
    </w:p>
    <w:p w:rsidR="00551E75" w:rsidRPr="00A071EE" w:rsidRDefault="00551E75" w:rsidP="00551E75">
      <w:pPr>
        <w:spacing w:after="0" w:line="240" w:lineRule="auto"/>
        <w:jc w:val="both"/>
        <w:rPr>
          <w:rFonts w:cstheme="minorHAnsi"/>
        </w:rPr>
      </w:pPr>
    </w:p>
    <w:p w:rsidR="00551E75" w:rsidRPr="00A071EE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PE"/>
        </w:rPr>
      </w:pPr>
      <w:r w:rsidRPr="00A071EE">
        <w:rPr>
          <w:rFonts w:ascii="Calibri" w:eastAsia="Times New Roman" w:hAnsi="Calibri" w:cs="Times New Roman"/>
          <w:b/>
          <w:lang w:eastAsia="es-PE"/>
        </w:rPr>
        <w:t>CONSTRUCCION E IMPLEMENTACION DEL  HOSPITAL II-2 DE JAEN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lang w:eastAsia="es-PE"/>
        </w:rPr>
      </w:pPr>
      <w:r w:rsidRPr="005D7F2F">
        <w:rPr>
          <w:rFonts w:ascii="Calibri" w:eastAsia="Times New Roman" w:hAnsi="Calibri" w:cs="Times New Roman"/>
          <w:lang w:eastAsia="es-PE"/>
        </w:rPr>
        <w:t xml:space="preserve">Existe un arbitraje por el Contratista Consorcio </w:t>
      </w:r>
      <w:proofErr w:type="spellStart"/>
      <w:r w:rsidRPr="005D7F2F">
        <w:rPr>
          <w:rFonts w:ascii="Calibri" w:eastAsia="Times New Roman" w:hAnsi="Calibri" w:cs="Times New Roman"/>
          <w:lang w:eastAsia="es-PE"/>
        </w:rPr>
        <w:t>Caxamarca</w:t>
      </w:r>
      <w:proofErr w:type="spellEnd"/>
      <w:r w:rsidRPr="005D7F2F">
        <w:rPr>
          <w:rFonts w:ascii="Calibri" w:eastAsia="Times New Roman" w:hAnsi="Calibri" w:cs="Times New Roman"/>
          <w:lang w:eastAsia="es-PE"/>
        </w:rPr>
        <w:t>, por la controversia relacionada al incremento del monto contractual, no existe conciliación.</w:t>
      </w:r>
    </w:p>
    <w:p w:rsidR="00551E75" w:rsidRPr="005D7F2F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lang w:eastAsia="es-PE"/>
        </w:rPr>
      </w:pPr>
      <w:r>
        <w:rPr>
          <w:rFonts w:ascii="Calibri" w:eastAsia="Times New Roman" w:hAnsi="Calibri" w:cs="Times New Roman"/>
          <w:lang w:eastAsia="es-PE"/>
        </w:rPr>
        <w:t>Se cumplió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PE"/>
        </w:rPr>
      </w:pPr>
    </w:p>
    <w:p w:rsidR="00551E75" w:rsidRPr="00A071EE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b/>
          <w:lang w:eastAsia="es-PE"/>
        </w:rPr>
      </w:pPr>
      <w:r w:rsidRPr="00A071EE">
        <w:rPr>
          <w:rFonts w:ascii="Calibri" w:eastAsia="Times New Roman" w:hAnsi="Calibri" w:cs="Times New Roman"/>
          <w:b/>
          <w:lang w:eastAsia="es-PE"/>
        </w:rPr>
        <w:t>CONSTRUCCION E IMPLEMENTACION DEL  HOSPITAL II-1 DE CAJABAMBA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 w:rsidRPr="00B8474B">
        <w:rPr>
          <w:rFonts w:cstheme="minorHAnsi"/>
        </w:rPr>
        <w:t xml:space="preserve">Existe un arbitraje planteado por el Contratista relacionado con la </w:t>
      </w:r>
      <w:r>
        <w:rPr>
          <w:rFonts w:cstheme="minorHAnsi"/>
        </w:rPr>
        <w:t>intangibilidad del Contrato desde el año 2012. Además en el presente año el Contratista presentó la controversia relacionada al incremento del monto contractual y la controversia relacionada a la denegatoria de ampliación de plazo. El Director Ejecutivo debe realizar monitoreo e informar a la Gerencia General Regional.</w:t>
      </w:r>
    </w:p>
    <w:p w:rsidR="00551E75" w:rsidRPr="00B8474B" w:rsidRDefault="00551E75" w:rsidP="00551E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Se cumplió. 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  <w:b/>
        </w:rPr>
      </w:pPr>
    </w:p>
    <w:p w:rsidR="00551E75" w:rsidRPr="00A071EE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lang w:eastAsia="es-PE"/>
        </w:rPr>
      </w:pPr>
    </w:p>
    <w:p w:rsidR="00551E75" w:rsidRDefault="00551E75" w:rsidP="00551E75">
      <w:pPr>
        <w:jc w:val="both"/>
        <w:rPr>
          <w:rFonts w:ascii="Calibri" w:eastAsia="Times New Roman" w:hAnsi="Calibri" w:cs="Times New Roman"/>
          <w:b/>
          <w:lang w:eastAsia="es-PE"/>
        </w:rPr>
      </w:pPr>
      <w:r w:rsidRPr="00A071EE">
        <w:rPr>
          <w:rFonts w:ascii="Calibri" w:eastAsia="Times New Roman" w:hAnsi="Calibri" w:cs="Times New Roman"/>
          <w:b/>
          <w:lang w:eastAsia="es-PE"/>
        </w:rPr>
        <w:t>CONSTRUCCIÓN Y MEJORAMIENTO  DEL CAMINO VECINAL ENTRE LOS CENTROS POBLADOS DE CHALAMARCA, LA PUCARA, SUSANGATE; DISTRITOS DE CHALAMARCA – TACABAMBA – CHIMBÁN; PROVINCIA DE CHOTA – REGION CAJAMARCA.</w:t>
      </w:r>
    </w:p>
    <w:p w:rsidR="00551E75" w:rsidRPr="005D7F2F" w:rsidRDefault="00551E75" w:rsidP="00551E75">
      <w:pPr>
        <w:jc w:val="both"/>
        <w:rPr>
          <w:rFonts w:ascii="Calibri" w:eastAsia="Times New Roman" w:hAnsi="Calibri" w:cs="Times New Roman"/>
          <w:b/>
          <w:lang w:eastAsia="es-PE"/>
        </w:rPr>
      </w:pPr>
      <w:r w:rsidRPr="005D7F2F">
        <w:rPr>
          <w:rFonts w:ascii="Calibri" w:eastAsia="Times New Roman" w:hAnsi="Calibri" w:cs="Times New Roman"/>
          <w:lang w:eastAsia="es-PE"/>
        </w:rPr>
        <w:t>Prosigue con la elaboración de estudio de factibilidad.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>III.SEGUIMIENTO A LA CATERA.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  <w:b/>
        </w:rPr>
      </w:pPr>
    </w:p>
    <w:p w:rsidR="00551E75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>
        <w:rPr>
          <w:rFonts w:asciiTheme="minorHAnsi" w:eastAsia="Arial Unicode MS" w:hAnsiTheme="minorHAnsi" w:cstheme="minorHAnsi"/>
          <w:b/>
          <w:bCs/>
          <w:sz w:val="22"/>
          <w:szCs w:val="22"/>
        </w:rPr>
        <w:t>3.1.- CARTERA DE INVERSIÓN:</w:t>
      </w:r>
    </w:p>
    <w:p w:rsidR="00551E75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</w:p>
    <w:p w:rsidR="00551E75" w:rsidRPr="005F7FE1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Cs/>
          <w:sz w:val="22"/>
          <w:szCs w:val="22"/>
        </w:rPr>
      </w:pPr>
      <w:r w:rsidRPr="005F7FE1">
        <w:rPr>
          <w:rFonts w:asciiTheme="minorHAnsi" w:eastAsia="Arial Unicode MS" w:hAnsiTheme="minorHAnsi" w:cstheme="minorHAnsi"/>
          <w:bCs/>
          <w:sz w:val="22"/>
          <w:szCs w:val="22"/>
        </w:rPr>
        <w:t>3.1.</w:t>
      </w:r>
      <w:r>
        <w:rPr>
          <w:rFonts w:asciiTheme="minorHAnsi" w:eastAsia="Arial Unicode MS" w:hAnsiTheme="minorHAnsi" w:cstheme="minorHAnsi"/>
          <w:bCs/>
          <w:sz w:val="22"/>
          <w:szCs w:val="22"/>
        </w:rPr>
        <w:t>1</w:t>
      </w:r>
      <w:r w:rsidRPr="005F7FE1">
        <w:rPr>
          <w:rFonts w:asciiTheme="minorHAnsi" w:eastAsia="Arial Unicode MS" w:hAnsiTheme="minorHAnsi" w:cstheme="minorHAnsi"/>
          <w:bCs/>
          <w:sz w:val="22"/>
          <w:szCs w:val="22"/>
        </w:rPr>
        <w:t xml:space="preserve">- </w:t>
      </w:r>
      <w:r w:rsidRPr="005E20D5">
        <w:rPr>
          <w:rFonts w:asciiTheme="minorHAnsi" w:eastAsia="Arial Unicode MS" w:hAnsiTheme="minorHAnsi" w:cstheme="minorHAnsi"/>
          <w:b/>
          <w:bCs/>
          <w:sz w:val="22"/>
          <w:szCs w:val="22"/>
        </w:rPr>
        <w:t>ELECTRIFICACION RURAL PARTE MARGEN DERECHA E IZQUIERDA RIO CHINCHIPE</w:t>
      </w:r>
    </w:p>
    <w:p w:rsidR="00551E75" w:rsidRPr="00A705D6" w:rsidRDefault="00551E75" w:rsidP="00551E75">
      <w:pPr>
        <w:spacing w:after="0" w:line="240" w:lineRule="auto"/>
        <w:jc w:val="both"/>
        <w:rPr>
          <w:rFonts w:eastAsia="Arial Unicode MS" w:cstheme="minorHAnsi"/>
          <w:bCs/>
        </w:rPr>
      </w:pPr>
      <w:r>
        <w:rPr>
          <w:rFonts w:eastAsia="Arial Unicode MS" w:cstheme="minorHAnsi"/>
          <w:bCs/>
        </w:rPr>
        <w:t xml:space="preserve">No presentaron informe por parte de la Gerente Sub Regional de Jaén Abogado Zulema </w:t>
      </w:r>
      <w:proofErr w:type="spellStart"/>
      <w:r>
        <w:rPr>
          <w:rFonts w:eastAsia="Arial Unicode MS" w:cstheme="minorHAnsi"/>
          <w:bCs/>
        </w:rPr>
        <w:t>Chilón</w:t>
      </w:r>
      <w:proofErr w:type="spellEnd"/>
      <w:r>
        <w:rPr>
          <w:rFonts w:eastAsia="Arial Unicode MS" w:cstheme="minorHAnsi"/>
          <w:bCs/>
        </w:rPr>
        <w:t xml:space="preserve"> Pérez, correspondiente al mes de setiembre.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  <w:b/>
          <w:color w:val="632423" w:themeColor="accent2" w:themeShade="80"/>
        </w:rPr>
      </w:pPr>
    </w:p>
    <w:p w:rsidR="00551E75" w:rsidRPr="00A705D6" w:rsidRDefault="00551E75" w:rsidP="00551E75">
      <w:pPr>
        <w:spacing w:after="0" w:line="240" w:lineRule="auto"/>
        <w:jc w:val="both"/>
        <w:rPr>
          <w:rFonts w:cstheme="minorHAnsi"/>
          <w:b/>
        </w:rPr>
      </w:pPr>
      <w:r w:rsidRPr="00A705D6">
        <w:rPr>
          <w:rFonts w:cstheme="minorHAnsi"/>
        </w:rPr>
        <w:t>3.1.2.</w:t>
      </w:r>
      <w:r w:rsidRPr="00A705D6">
        <w:rPr>
          <w:rFonts w:cstheme="minorHAnsi"/>
          <w:b/>
        </w:rPr>
        <w:t xml:space="preserve"> PIP TAMBILLO ALTO - JAÉN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>Se ha realizado el registrado de modificación en etapa de inversión el 08-09-2014 por el MEF.</w:t>
      </w:r>
    </w:p>
    <w:p w:rsidR="00551E75" w:rsidRPr="00085539" w:rsidRDefault="00551E75" w:rsidP="00551E75">
      <w:pPr>
        <w:spacing w:after="0" w:line="240" w:lineRule="auto"/>
        <w:jc w:val="both"/>
        <w:rPr>
          <w:rFonts w:cstheme="minorHAnsi"/>
        </w:rPr>
      </w:pPr>
    </w:p>
    <w:p w:rsidR="00551E75" w:rsidRPr="0052322B" w:rsidRDefault="00551E75" w:rsidP="00551E75">
      <w:pPr>
        <w:spacing w:after="0" w:line="240" w:lineRule="auto"/>
        <w:jc w:val="both"/>
        <w:rPr>
          <w:rFonts w:eastAsia="Times New Roman" w:cs="Times New Roman"/>
          <w:b/>
          <w:color w:val="000000"/>
          <w:lang w:eastAsia="es-PE"/>
        </w:rPr>
      </w:pPr>
      <w:r>
        <w:rPr>
          <w:rFonts w:eastAsia="Arial Unicode MS" w:cstheme="minorHAnsi"/>
          <w:bCs/>
        </w:rPr>
        <w:t>3.1.3</w:t>
      </w:r>
      <w:r w:rsidRPr="005E20D5">
        <w:rPr>
          <w:rFonts w:eastAsia="Arial Unicode MS" w:cstheme="minorHAnsi"/>
          <w:b/>
          <w:bCs/>
        </w:rPr>
        <w:t xml:space="preserve">.- </w:t>
      </w:r>
      <w:r w:rsidRPr="005E20D5">
        <w:rPr>
          <w:rFonts w:eastAsia="Times New Roman" w:cs="Times New Roman"/>
          <w:b/>
          <w:color w:val="000000"/>
          <w:lang w:eastAsia="es-PE"/>
        </w:rPr>
        <w:t>ELECTRIFICACION RURAL DEL DISTRITO DE GREGORIO PITA II ETAPA</w:t>
      </w:r>
    </w:p>
    <w:p w:rsidR="00551E75" w:rsidRDefault="00551E75" w:rsidP="00551E75">
      <w:pPr>
        <w:spacing w:after="0" w:line="240" w:lineRule="auto"/>
        <w:jc w:val="both"/>
        <w:rPr>
          <w:rFonts w:eastAsia="Times New Roman" w:cs="Times New Roman"/>
          <w:color w:val="000000"/>
          <w:lang w:eastAsia="es-PE"/>
        </w:rPr>
      </w:pPr>
      <w:r>
        <w:rPr>
          <w:rFonts w:eastAsia="Times New Roman" w:cs="Times New Roman"/>
          <w:color w:val="000000"/>
          <w:lang w:eastAsia="es-PE"/>
        </w:rPr>
        <w:t xml:space="preserve"> La Buena Pro está programado para ejecutarse el día 18-10-2014, de acuerdo al informe del Ing. Luis Ramírez León sub Gerente de Estudios.</w:t>
      </w:r>
    </w:p>
    <w:p w:rsidR="00551E75" w:rsidRDefault="00551E75" w:rsidP="00551E75">
      <w:pPr>
        <w:spacing w:after="0" w:line="240" w:lineRule="auto"/>
        <w:jc w:val="both"/>
        <w:rPr>
          <w:rFonts w:eastAsia="Times New Roman" w:cs="Times New Roman"/>
          <w:color w:val="000000"/>
          <w:lang w:eastAsia="es-PE"/>
        </w:rPr>
      </w:pP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eastAsia="Times New Roman" w:cs="Times New Roman"/>
          <w:color w:val="000000"/>
          <w:lang w:eastAsia="es-PE"/>
        </w:rPr>
        <w:t xml:space="preserve">3.1.3.- </w:t>
      </w:r>
      <w:r w:rsidRPr="005E20D5">
        <w:rPr>
          <w:rFonts w:ascii="Calibri" w:eastAsia="Times New Roman" w:hAnsi="Calibri" w:cs="Times New Roman"/>
          <w:b/>
          <w:color w:val="000000"/>
          <w:lang w:eastAsia="es-PE"/>
        </w:rPr>
        <w:t>MEJORAMIENTO CANAL DE IRRIGACION MALCAS II ETAPA</w:t>
      </w:r>
    </w:p>
    <w:p w:rsidR="00551E75" w:rsidRPr="0052322B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52322B">
        <w:rPr>
          <w:rFonts w:ascii="Calibri" w:eastAsia="Times New Roman" w:hAnsi="Calibri" w:cs="Times New Roman"/>
          <w:color w:val="000000"/>
          <w:lang w:val="es-ES" w:eastAsia="es-PE"/>
        </w:rPr>
        <w:t>La obra cuenta con un avance</w:t>
      </w:r>
      <w:r>
        <w:rPr>
          <w:rFonts w:ascii="Calibri" w:eastAsia="Times New Roman" w:hAnsi="Calibri" w:cs="Times New Roman"/>
          <w:color w:val="000000"/>
          <w:lang w:val="es-ES" w:eastAsia="es-PE"/>
        </w:rPr>
        <w:t xml:space="preserve"> físico </w:t>
      </w:r>
      <w:r w:rsidRPr="0052322B">
        <w:rPr>
          <w:rFonts w:ascii="Calibri" w:eastAsia="Times New Roman" w:hAnsi="Calibri" w:cs="Times New Roman"/>
          <w:color w:val="000000"/>
          <w:lang w:val="es-ES" w:eastAsia="es-PE"/>
        </w:rPr>
        <w:t xml:space="preserve"> </w:t>
      </w:r>
      <w:r>
        <w:rPr>
          <w:rFonts w:ascii="Calibri" w:eastAsia="Times New Roman" w:hAnsi="Calibri" w:cs="Times New Roman"/>
          <w:color w:val="000000"/>
          <w:lang w:val="es-ES" w:eastAsia="es-PE"/>
        </w:rPr>
        <w:t xml:space="preserve">de 8.55% por encima de lo programado, no existen atrasos informe de parte del Ing. César Sánchez </w:t>
      </w:r>
      <w:proofErr w:type="spellStart"/>
      <w:r>
        <w:rPr>
          <w:rFonts w:ascii="Calibri" w:eastAsia="Times New Roman" w:hAnsi="Calibri" w:cs="Times New Roman"/>
          <w:color w:val="000000"/>
          <w:lang w:val="es-ES" w:eastAsia="es-PE"/>
        </w:rPr>
        <w:t>Zumarán</w:t>
      </w:r>
      <w:proofErr w:type="spellEnd"/>
      <w:r>
        <w:rPr>
          <w:rFonts w:ascii="Calibri" w:eastAsia="Times New Roman" w:hAnsi="Calibri" w:cs="Times New Roman"/>
          <w:color w:val="000000"/>
          <w:lang w:val="es-ES" w:eastAsia="es-PE"/>
        </w:rPr>
        <w:t xml:space="preserve"> Sub Gerente de Supervisión y Liquidación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551E75" w:rsidRPr="005E20D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>
        <w:rPr>
          <w:rFonts w:ascii="Calibri" w:eastAsia="Times New Roman" w:hAnsi="Calibri" w:cs="Times New Roman"/>
          <w:b/>
          <w:color w:val="000000"/>
          <w:lang w:eastAsia="es-PE"/>
        </w:rPr>
        <w:t xml:space="preserve">3.1.4.- </w:t>
      </w:r>
      <w:r w:rsidRPr="005E20D5">
        <w:rPr>
          <w:rFonts w:ascii="Calibri" w:eastAsia="Times New Roman" w:hAnsi="Calibri" w:cs="Times New Roman"/>
          <w:b/>
          <w:color w:val="000000"/>
          <w:lang w:eastAsia="es-PE"/>
        </w:rPr>
        <w:t>MEJORAMIENTO DE LA CARRETERA EMP.  PE-3N (BAMBAMARCA) - ATOSHAICO  - RAMOSCUCHO - LA LIBERTAD DE PALLAN - EMP. PE 8B (CELENDIN).</w:t>
      </w:r>
    </w:p>
    <w:p w:rsidR="00551E75" w:rsidRPr="0029361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293615">
        <w:rPr>
          <w:rFonts w:ascii="Calibri" w:eastAsia="Times New Roman" w:hAnsi="Calibri" w:cs="Times New Roman"/>
          <w:color w:val="000000"/>
          <w:lang w:val="es-ES" w:eastAsia="es-PE"/>
        </w:rPr>
        <w:t xml:space="preserve">A la fecha la obra </w:t>
      </w:r>
      <w:r>
        <w:rPr>
          <w:rFonts w:ascii="Calibri" w:eastAsia="Times New Roman" w:hAnsi="Calibri" w:cs="Times New Roman"/>
          <w:color w:val="000000"/>
          <w:lang w:val="es-ES" w:eastAsia="es-PE"/>
        </w:rPr>
        <w:t>h</w:t>
      </w:r>
      <w:r w:rsidRPr="00293615">
        <w:rPr>
          <w:rFonts w:ascii="Calibri" w:eastAsia="Times New Roman" w:hAnsi="Calibri" w:cs="Times New Roman"/>
          <w:color w:val="000000"/>
          <w:lang w:val="es-ES" w:eastAsia="es-PE"/>
        </w:rPr>
        <w:t>a culminado su ejecución</w:t>
      </w:r>
      <w:r>
        <w:rPr>
          <w:rFonts w:ascii="Calibri" w:eastAsia="Times New Roman" w:hAnsi="Calibri" w:cs="Times New Roman"/>
          <w:color w:val="000000"/>
          <w:lang w:val="es-ES" w:eastAsia="es-PE"/>
        </w:rPr>
        <w:t>,</w:t>
      </w:r>
      <w:r w:rsidRPr="00293615">
        <w:rPr>
          <w:rFonts w:ascii="Calibri" w:eastAsia="Times New Roman" w:hAnsi="Calibri" w:cs="Times New Roman"/>
          <w:color w:val="000000"/>
          <w:lang w:val="es-ES" w:eastAsia="es-PE"/>
        </w:rPr>
        <w:t xml:space="preserve"> según cuaderno de obra el día 16/06/2014; actualmente  se  viene realizando los trabajos de levantamiento de observaciones formuladas  por el Comité  de Recepción de Obra  las cuales culminara el día 02/11/2014.  Posterior a esta fecha se programara una visita a campo a fin de verificar si se ha subsanado las observaciones formuladas</w:t>
      </w:r>
      <w:r>
        <w:rPr>
          <w:rFonts w:ascii="Calibri" w:eastAsia="Times New Roman" w:hAnsi="Calibri" w:cs="Times New Roman"/>
          <w:color w:val="000000"/>
          <w:lang w:val="es-ES" w:eastAsia="es-PE"/>
        </w:rPr>
        <w:t xml:space="preserve">, informe presentado por el Ing. César Sánchez </w:t>
      </w:r>
      <w:proofErr w:type="spellStart"/>
      <w:r>
        <w:rPr>
          <w:rFonts w:ascii="Calibri" w:eastAsia="Times New Roman" w:hAnsi="Calibri" w:cs="Times New Roman"/>
          <w:color w:val="000000"/>
          <w:lang w:val="es-ES" w:eastAsia="es-PE"/>
        </w:rPr>
        <w:t>Zumarán</w:t>
      </w:r>
      <w:proofErr w:type="spellEnd"/>
      <w:r>
        <w:rPr>
          <w:rFonts w:ascii="Calibri" w:eastAsia="Times New Roman" w:hAnsi="Calibri" w:cs="Times New Roman"/>
          <w:color w:val="000000"/>
          <w:lang w:val="es-ES" w:eastAsia="es-PE"/>
        </w:rPr>
        <w:t>, sub Gerente de Supervisión y Liquidación.</w:t>
      </w:r>
      <w:r w:rsidRPr="00293615">
        <w:rPr>
          <w:rFonts w:ascii="Calibri" w:eastAsia="Times New Roman" w:hAnsi="Calibri" w:cs="Times New Roman"/>
          <w:color w:val="000000"/>
          <w:lang w:val="es-ES" w:eastAsia="es-PE"/>
        </w:rPr>
        <w:t xml:space="preserve"> 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3.1.7</w:t>
      </w:r>
      <w:r w:rsidRPr="009621E9">
        <w:rPr>
          <w:rFonts w:ascii="Calibri" w:eastAsia="Times New Roman" w:hAnsi="Calibri" w:cs="Times New Roman"/>
          <w:b/>
          <w:color w:val="000000"/>
          <w:lang w:eastAsia="es-PE"/>
        </w:rPr>
        <w:t>.- INSTALACION DEL SISTEMA ELECTRICO RURAL POMAHUACA - BELLAVISTA - SAN IGNACIO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       El proceso se tuvo que retrotraer. Se volvió a licitar en junio. Hay observaciones. Se ha dispuesto hacer sólo el expediente técnico por recorte presupuestal. Se han elaborado </w:t>
      </w:r>
      <w:proofErr w:type="spellStart"/>
      <w:r>
        <w:rPr>
          <w:rFonts w:ascii="Calibri" w:eastAsia="Times New Roman" w:hAnsi="Calibri" w:cs="Times New Roman"/>
          <w:color w:val="000000"/>
          <w:lang w:eastAsia="es-PE"/>
        </w:rPr>
        <w:t>TDRs</w:t>
      </w:r>
      <w:proofErr w:type="spellEnd"/>
      <w:r>
        <w:rPr>
          <w:rFonts w:ascii="Calibri" w:eastAsia="Times New Roman" w:hAnsi="Calibri" w:cs="Times New Roman"/>
          <w:color w:val="000000"/>
          <w:lang w:eastAsia="es-PE"/>
        </w:rPr>
        <w:t xml:space="preserve"> e irá en paquetes con los </w:t>
      </w:r>
      <w:proofErr w:type="spellStart"/>
      <w:r>
        <w:rPr>
          <w:rFonts w:ascii="Calibri" w:eastAsia="Times New Roman" w:hAnsi="Calibri" w:cs="Times New Roman"/>
          <w:color w:val="000000"/>
          <w:lang w:eastAsia="es-PE"/>
        </w:rPr>
        <w:t>PIPs</w:t>
      </w:r>
      <w:proofErr w:type="spellEnd"/>
      <w:r>
        <w:rPr>
          <w:rFonts w:ascii="Calibri" w:eastAsia="Times New Roman" w:hAnsi="Calibri" w:cs="Times New Roman"/>
          <w:color w:val="000000"/>
          <w:lang w:eastAsia="es-PE"/>
        </w:rPr>
        <w:t xml:space="preserve"> de Celendín, esto fue acuerdo de Junta de Gerentes, Ing. Arturo Fernández F, Director Ejecutivo de PROREGIÓN debe presentar informe.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3.1.9.- </w:t>
      </w:r>
      <w:r w:rsidRPr="009621E9">
        <w:rPr>
          <w:rFonts w:ascii="Calibri" w:eastAsia="Times New Roman" w:hAnsi="Calibri" w:cs="Times New Roman"/>
          <w:b/>
          <w:color w:val="000000"/>
          <w:lang w:eastAsia="es-PE"/>
        </w:rPr>
        <w:t>CONSTRUCCION E IMPLEMENTACION DEL  HOSPITAL II-2 DE JAEN</w:t>
      </w:r>
    </w:p>
    <w:p w:rsidR="00551E75" w:rsidRPr="00A071EE" w:rsidRDefault="00551E75" w:rsidP="00551E75">
      <w:pPr>
        <w:spacing w:after="0" w:line="240" w:lineRule="auto"/>
        <w:jc w:val="both"/>
        <w:rPr>
          <w:rFonts w:eastAsia="Times New Roman" w:cs="Times New Roman"/>
          <w:lang w:eastAsia="es-PE"/>
        </w:rPr>
      </w:pPr>
      <w:r w:rsidRPr="00A071EE">
        <w:rPr>
          <w:rFonts w:eastAsia="Times New Roman" w:cs="Times New Roman"/>
          <w:lang w:eastAsia="es-PE"/>
        </w:rPr>
        <w:t xml:space="preserve">Se realizó una reunión informativa en la Municipalidad de Jaén el 08-08-2014, el 02-09-2014, se tiene una reunión con MINSA y con presencia del congresista Luis </w:t>
      </w:r>
      <w:proofErr w:type="spellStart"/>
      <w:r w:rsidRPr="00A071EE">
        <w:rPr>
          <w:rFonts w:eastAsia="Times New Roman" w:cs="Times New Roman"/>
          <w:lang w:eastAsia="es-PE"/>
        </w:rPr>
        <w:t>Llatas</w:t>
      </w:r>
      <w:proofErr w:type="spellEnd"/>
      <w:r w:rsidRPr="00A071EE">
        <w:rPr>
          <w:rFonts w:eastAsia="Times New Roman" w:cs="Times New Roman"/>
          <w:lang w:eastAsia="es-PE"/>
        </w:rPr>
        <w:t xml:space="preserve"> Altamirano, exponiendo la situación actual de la ejecución de obra, se tiene a la fecha un avance físico acumulado programado 19.40 % y ejecutado de 18.52 con una diferencia de 0.88 %.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lastRenderedPageBreak/>
        <w:t xml:space="preserve">Existe un arbitraje con el Consorcio </w:t>
      </w:r>
      <w:proofErr w:type="spellStart"/>
      <w:r>
        <w:rPr>
          <w:rFonts w:ascii="Calibri" w:eastAsia="Times New Roman" w:hAnsi="Calibri" w:cs="Times New Roman"/>
          <w:color w:val="000000"/>
          <w:lang w:eastAsia="es-PE"/>
        </w:rPr>
        <w:t>Caxamarca</w:t>
      </w:r>
      <w:proofErr w:type="spellEnd"/>
      <w:r>
        <w:rPr>
          <w:rFonts w:ascii="Calibri" w:eastAsia="Times New Roman" w:hAnsi="Calibri" w:cs="Times New Roman"/>
          <w:color w:val="000000"/>
          <w:lang w:eastAsia="es-PE"/>
        </w:rPr>
        <w:t xml:space="preserve"> por la controversia relacionada al incremento de monto contractual, a la fecha después de la audiencia del 18-09-2014 no existió conciliación, sigue el trámite.</w:t>
      </w:r>
    </w:p>
    <w:p w:rsidR="00551E75" w:rsidRPr="00C1208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C12085">
        <w:rPr>
          <w:rFonts w:ascii="Calibri" w:eastAsia="Times New Roman" w:hAnsi="Calibri" w:cs="Times New Roman"/>
          <w:b/>
          <w:color w:val="000000"/>
          <w:lang w:eastAsia="es-PE"/>
        </w:rPr>
        <w:t>Acuerdo 3 del CRI 30.-</w:t>
      </w:r>
      <w:r>
        <w:rPr>
          <w:rFonts w:ascii="Calibri" w:eastAsia="Times New Roman" w:hAnsi="Calibri" w:cs="Times New Roman"/>
          <w:b/>
          <w:color w:val="000000"/>
          <w:lang w:eastAsia="es-PE"/>
        </w:rPr>
        <w:t xml:space="preserve"> </w:t>
      </w:r>
      <w:r w:rsidRPr="00C12085">
        <w:rPr>
          <w:rFonts w:ascii="Calibri" w:eastAsia="Times New Roman" w:hAnsi="Calibri" w:cs="Times New Roman"/>
          <w:color w:val="000000"/>
          <w:lang w:eastAsia="es-PE"/>
        </w:rPr>
        <w:t xml:space="preserve">Ing. Arturo Fernández debe informar de los avances del PIP a la Gerencia General Regional en forma </w:t>
      </w:r>
      <w:r w:rsidR="00206BB2">
        <w:rPr>
          <w:rFonts w:ascii="Calibri" w:eastAsia="Times New Roman" w:hAnsi="Calibri" w:cs="Times New Roman"/>
          <w:color w:val="000000"/>
          <w:lang w:eastAsia="es-PE"/>
        </w:rPr>
        <w:t>quincenal</w:t>
      </w:r>
      <w:r w:rsidRPr="00C12085"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  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3.1.10.- </w:t>
      </w:r>
      <w:r w:rsidRPr="009621E9">
        <w:rPr>
          <w:rFonts w:ascii="Calibri" w:eastAsia="Times New Roman" w:hAnsi="Calibri" w:cs="Times New Roman"/>
          <w:b/>
          <w:color w:val="000000"/>
          <w:lang w:eastAsia="es-PE"/>
        </w:rPr>
        <w:t>CONSTRUCCION E IMPLEMENTACION DEL  HOSPITAL II-1 DE CAJABAMBA</w:t>
      </w:r>
    </w:p>
    <w:p w:rsidR="00551E75" w:rsidRDefault="00551E75" w:rsidP="00551E75">
      <w:pPr>
        <w:jc w:val="both"/>
        <w:rPr>
          <w:rFonts w:ascii="Calibri" w:eastAsia="Times New Roman" w:hAnsi="Calibri"/>
          <w:color w:val="000000"/>
          <w:lang w:val="es-ES"/>
        </w:rPr>
      </w:pPr>
      <w:r w:rsidRPr="004C6754">
        <w:rPr>
          <w:rFonts w:ascii="Calibri" w:eastAsia="Times New Roman" w:hAnsi="Calibri"/>
          <w:color w:val="000000"/>
          <w:lang w:val="es-ES"/>
        </w:rPr>
        <w:t>A la fecha la obra presenta un avance físico atrasado, debido a la falta de madera, agua para los curados y mezclas de concreto, agregados y consecuentemente mano de obra calificada y no calificada, así mismo el descuido en los diferentes frentes existente en obra, debido a la medida cautelar no permite la intervención económica, ni la resolución del contrato; a la fecha se encuentra en un avance  acumulado del  48.472%.</w:t>
      </w:r>
      <w:r>
        <w:rPr>
          <w:rFonts w:ascii="Calibri" w:eastAsia="Times New Roman" w:hAnsi="Calibri"/>
          <w:color w:val="000000"/>
          <w:lang w:val="es-ES"/>
        </w:rPr>
        <w:t xml:space="preserve"> </w:t>
      </w:r>
    </w:p>
    <w:p w:rsidR="00551E75" w:rsidRDefault="00551E75" w:rsidP="00551E75">
      <w:pPr>
        <w:jc w:val="both"/>
        <w:rPr>
          <w:rFonts w:ascii="Calibri" w:eastAsia="Times New Roman" w:hAnsi="Calibri"/>
          <w:color w:val="000000"/>
          <w:lang w:val="es-ES"/>
        </w:rPr>
      </w:pPr>
      <w:r>
        <w:rPr>
          <w:rFonts w:ascii="Calibri" w:eastAsia="Times New Roman" w:hAnsi="Calibri"/>
          <w:color w:val="000000"/>
          <w:lang w:val="es-ES"/>
        </w:rPr>
        <w:t>El director Ejecutivo de PROREGIÓN informa: que existe un arbitraje planteado por el Contratista y existen dos pretensiones, una la controversia relacionada con el incremento del monto actual en la que el Tribunal ordena a PROREGIÓN se abstenga de valorizar los avances y trabajos de obra a cargo del Contratista, y la Procuraduría Pública Regional ha interpuesto Recurso de Reconsideración a la fecha no se resuelve.</w:t>
      </w:r>
    </w:p>
    <w:p w:rsidR="00551E75" w:rsidRDefault="00551E75" w:rsidP="00551E75">
      <w:pPr>
        <w:jc w:val="both"/>
        <w:rPr>
          <w:rFonts w:ascii="Calibri" w:eastAsia="Times New Roman" w:hAnsi="Calibri"/>
          <w:color w:val="000000"/>
          <w:lang w:val="es-ES"/>
        </w:rPr>
      </w:pPr>
      <w:r>
        <w:rPr>
          <w:rFonts w:ascii="Calibri" w:eastAsia="Times New Roman" w:hAnsi="Calibri"/>
          <w:color w:val="000000"/>
          <w:lang w:val="es-ES"/>
        </w:rPr>
        <w:t>La segunda controversia relacionada a la denegatoria de ampliación de plazo N° 01, el Tribunal declara fundada dicha medida cautelar ordenando a PROREGIÓN  mientras no se expida el laudo arbitral se abstengan de disponer la intervención económica de la obra y/o resolución de contrato y aplicación de penalidades. PROREGIÓN  solicitó a la Procuraduría Pública que interponga Recurso de Reconsideración ante el Tribunal el cual no es resuelto.</w:t>
      </w:r>
    </w:p>
    <w:p w:rsidR="00551E75" w:rsidRPr="00C1208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C12085">
        <w:rPr>
          <w:rFonts w:ascii="Calibri" w:eastAsia="Times New Roman" w:hAnsi="Calibri"/>
          <w:b/>
          <w:color w:val="000000"/>
          <w:lang w:val="es-ES"/>
        </w:rPr>
        <w:t>Acuerdo 3 del CRI 30.-</w:t>
      </w:r>
      <w:r>
        <w:rPr>
          <w:rFonts w:ascii="Calibri" w:eastAsia="Times New Roman" w:hAnsi="Calibri"/>
          <w:color w:val="000000"/>
          <w:lang w:val="es-ES"/>
        </w:rPr>
        <w:t xml:space="preserve"> </w:t>
      </w:r>
      <w:r w:rsidRPr="00C12085">
        <w:rPr>
          <w:rFonts w:ascii="Calibri" w:eastAsia="Times New Roman" w:hAnsi="Calibri" w:cs="Times New Roman"/>
          <w:color w:val="000000"/>
          <w:lang w:eastAsia="es-PE"/>
        </w:rPr>
        <w:t xml:space="preserve">Ing. Arturo Fernández debe informar de los avances del PIP a la Gerencia General Regional en forma </w:t>
      </w:r>
      <w:r w:rsidR="00206BB2">
        <w:rPr>
          <w:rFonts w:ascii="Calibri" w:eastAsia="Times New Roman" w:hAnsi="Calibri" w:cs="Times New Roman"/>
          <w:color w:val="000000"/>
          <w:lang w:eastAsia="es-PE"/>
        </w:rPr>
        <w:t>quincenal</w:t>
      </w:r>
      <w:r w:rsidRPr="00C12085"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551E75" w:rsidRPr="004C6754" w:rsidRDefault="00551E75" w:rsidP="00551E75">
      <w:pPr>
        <w:jc w:val="both"/>
        <w:rPr>
          <w:rFonts w:ascii="Calibri" w:hAnsi="Calibri"/>
          <w:color w:val="000000"/>
        </w:rPr>
      </w:pP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ab/>
      </w:r>
    </w:p>
    <w:p w:rsidR="00551E75" w:rsidRPr="009621E9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3.1.12.- </w:t>
      </w:r>
      <w:r w:rsidRPr="009621E9">
        <w:rPr>
          <w:rFonts w:ascii="Calibri" w:eastAsia="Times New Roman" w:hAnsi="Calibri" w:cs="Times New Roman"/>
          <w:b/>
          <w:color w:val="000000"/>
          <w:lang w:eastAsia="es-PE"/>
        </w:rPr>
        <w:t>CONSTRUCCIÓN PUENTE CHAMAYA III.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Se encuentra observada la liquidación presentada por la empresa SIMA, tiene plazo hasta la próxima semana para presentar el levantamiento de observaciones, el Ing. Walter Benavides Gerente Sub Regional de </w:t>
      </w:r>
      <w:proofErr w:type="spellStart"/>
      <w:r>
        <w:rPr>
          <w:rFonts w:ascii="Calibri" w:eastAsia="Times New Roman" w:hAnsi="Calibri" w:cs="Times New Roman"/>
          <w:color w:val="000000"/>
          <w:lang w:eastAsia="es-PE"/>
        </w:rPr>
        <w:t>Cutervo</w:t>
      </w:r>
      <w:proofErr w:type="spellEnd"/>
      <w:r>
        <w:rPr>
          <w:rFonts w:ascii="Calibri" w:eastAsia="Times New Roman" w:hAnsi="Calibri" w:cs="Times New Roman"/>
          <w:color w:val="000000"/>
          <w:lang w:eastAsia="es-PE"/>
        </w:rPr>
        <w:t xml:space="preserve"> verbalmente expuso dicho informe.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 w:rsidRPr="0095419F">
        <w:rPr>
          <w:rFonts w:ascii="Calibri" w:eastAsia="Times New Roman" w:hAnsi="Calibri" w:cs="Times New Roman"/>
          <w:b/>
          <w:color w:val="000000"/>
          <w:lang w:eastAsia="es-PE"/>
        </w:rPr>
        <w:t>3.2- CARTERA DE PRE INVERSIÓN</w:t>
      </w:r>
      <w:r>
        <w:rPr>
          <w:rFonts w:ascii="Calibri" w:eastAsia="Times New Roman" w:hAnsi="Calibri" w:cs="Times New Roman"/>
          <w:b/>
          <w:color w:val="000000"/>
          <w:lang w:eastAsia="es-PE"/>
        </w:rPr>
        <w:t>: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551E75" w:rsidRPr="00085539" w:rsidRDefault="00551E75" w:rsidP="00551E75">
      <w:pPr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 w:rsidRPr="00085539">
        <w:rPr>
          <w:rFonts w:ascii="Calibri" w:eastAsia="Times New Roman" w:hAnsi="Calibri" w:cs="Times New Roman"/>
          <w:b/>
          <w:color w:val="000000"/>
          <w:lang w:eastAsia="es-PE"/>
        </w:rPr>
        <w:t xml:space="preserve">3.2.1.- ACTUALIZACIÓN DEL ESTUDIO DE FACTIBILIDAD: MEJORAMIENTO DE LA CARRETERA CA-102: EMP.PE06B (SANTA CRUZ DE SUCHUBAMBA) - ROMERO CIRCA - LA LAGUNA TONGOD - CATILLUC - EMP: PE - 3N (EL EMPALME) CAJAMARCA. </w:t>
      </w:r>
    </w:p>
    <w:p w:rsidR="00551E75" w:rsidRPr="008B628C" w:rsidRDefault="00551E75" w:rsidP="00551E75">
      <w:pPr>
        <w:jc w:val="both"/>
      </w:pPr>
      <w:r>
        <w:rPr>
          <w:rFonts w:cs="Arial"/>
        </w:rPr>
        <w:t>E</w:t>
      </w:r>
      <w:r w:rsidRPr="008B628C">
        <w:rPr>
          <w:rFonts w:cs="Arial"/>
        </w:rPr>
        <w:t xml:space="preserve">l estudio se ha concluido y la </w:t>
      </w:r>
      <w:r>
        <w:rPr>
          <w:rFonts w:cs="Arial"/>
        </w:rPr>
        <w:t>OPI s</w:t>
      </w:r>
      <w:r w:rsidRPr="008B628C">
        <w:rPr>
          <w:rFonts w:cs="Arial"/>
        </w:rPr>
        <w:t xml:space="preserve">olicito el retiro de la viabilidad </w:t>
      </w:r>
      <w:r>
        <w:rPr>
          <w:rFonts w:cs="Arial"/>
        </w:rPr>
        <w:t>para hacer la nueva actualizació</w:t>
      </w:r>
      <w:r w:rsidRPr="008B628C">
        <w:rPr>
          <w:rFonts w:cs="Arial"/>
        </w:rPr>
        <w:t xml:space="preserve">n de la ficha </w:t>
      </w:r>
      <w:r>
        <w:rPr>
          <w:rFonts w:cs="Arial"/>
        </w:rPr>
        <w:t>SNIP</w:t>
      </w:r>
      <w:r w:rsidRPr="008B628C">
        <w:rPr>
          <w:rFonts w:cs="Arial"/>
        </w:rPr>
        <w:t xml:space="preserve">3, la </w:t>
      </w:r>
      <w:r>
        <w:rPr>
          <w:rFonts w:cs="Arial"/>
        </w:rPr>
        <w:t xml:space="preserve">DGIP </w:t>
      </w:r>
      <w:r w:rsidRPr="008B628C">
        <w:rPr>
          <w:rFonts w:cs="Arial"/>
        </w:rPr>
        <w:t>ha solicitado la evaluaci</w:t>
      </w:r>
      <w:r>
        <w:rPr>
          <w:rFonts w:cs="Arial"/>
        </w:rPr>
        <w:t>ó</w:t>
      </w:r>
      <w:r w:rsidRPr="008B628C">
        <w:rPr>
          <w:rFonts w:cs="Arial"/>
        </w:rPr>
        <w:t>n con el programa HDM3</w:t>
      </w:r>
    </w:p>
    <w:p w:rsidR="00551E75" w:rsidRPr="00085539" w:rsidRDefault="00551E75" w:rsidP="00551E75">
      <w:pPr>
        <w:jc w:val="both"/>
        <w:rPr>
          <w:rFonts w:ascii="Calibri" w:eastAsia="Times New Roman" w:hAnsi="Calibri" w:cs="Times New Roman"/>
          <w:b/>
          <w:color w:val="000000"/>
          <w:sz w:val="14"/>
          <w:szCs w:val="14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3</w:t>
      </w:r>
      <w:r w:rsidRPr="00085539">
        <w:rPr>
          <w:rFonts w:ascii="Calibri" w:eastAsia="Times New Roman" w:hAnsi="Calibri" w:cs="Times New Roman"/>
          <w:b/>
          <w:color w:val="000000"/>
          <w:lang w:eastAsia="es-PE"/>
        </w:rPr>
        <w:t>.2.2.- MEJORAMIENTO DE LA COMPETITIVIDAD DE LOS PRODUCTORES DE GANADO BOVINO LECHERO EN LA REGIÓN CAJAMARCA</w:t>
      </w:r>
      <w:r w:rsidRPr="00085539">
        <w:rPr>
          <w:rFonts w:ascii="Calibri" w:eastAsia="Times New Roman" w:hAnsi="Calibri" w:cs="Times New Roman"/>
          <w:b/>
          <w:color w:val="000000"/>
          <w:sz w:val="14"/>
          <w:szCs w:val="14"/>
          <w:lang w:eastAsia="es-PE"/>
        </w:rPr>
        <w:t>.</w:t>
      </w:r>
    </w:p>
    <w:p w:rsidR="00551E75" w:rsidRPr="00085539" w:rsidRDefault="00551E75" w:rsidP="00551E75">
      <w:pPr>
        <w:spacing w:after="0" w:line="240" w:lineRule="auto"/>
        <w:jc w:val="both"/>
        <w:rPr>
          <w:rFonts w:cstheme="minorHAnsi"/>
        </w:rPr>
      </w:pPr>
      <w:r w:rsidRPr="00085539">
        <w:rPr>
          <w:rFonts w:cstheme="minorHAnsi"/>
        </w:rPr>
        <w:lastRenderedPageBreak/>
        <w:t>Se cumplió con lo programado.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  <w:b/>
          <w:color w:val="632423" w:themeColor="accent2" w:themeShade="80"/>
        </w:rPr>
      </w:pPr>
    </w:p>
    <w:p w:rsidR="00551E75" w:rsidRDefault="00551E75" w:rsidP="00551E75">
      <w:pPr>
        <w:jc w:val="both"/>
        <w:rPr>
          <w:rFonts w:ascii="Calibri" w:eastAsia="Times New Roman" w:hAnsi="Calibri" w:cs="Times New Roman"/>
          <w:b/>
          <w:color w:val="000000"/>
          <w:sz w:val="14"/>
          <w:szCs w:val="14"/>
          <w:lang w:eastAsia="es-PE"/>
        </w:rPr>
      </w:pPr>
      <w:r w:rsidRPr="00085539">
        <w:rPr>
          <w:rFonts w:ascii="Calibri" w:eastAsia="Times New Roman" w:hAnsi="Calibri" w:cs="Times New Roman"/>
          <w:b/>
          <w:color w:val="000000"/>
          <w:lang w:eastAsia="es-PE"/>
        </w:rPr>
        <w:t>3.2.3.-</w:t>
      </w:r>
      <w:r w:rsidRPr="00085539">
        <w:rPr>
          <w:rFonts w:ascii="Calibri" w:hAnsi="Calibri"/>
          <w:b/>
          <w:color w:val="000000"/>
          <w:sz w:val="14"/>
          <w:szCs w:val="14"/>
        </w:rPr>
        <w:t xml:space="preserve"> </w:t>
      </w:r>
      <w:r w:rsidRPr="00085539">
        <w:rPr>
          <w:rFonts w:ascii="Calibri" w:eastAsia="Times New Roman" w:hAnsi="Calibri" w:cs="Times New Roman"/>
          <w:b/>
          <w:color w:val="000000"/>
          <w:lang w:eastAsia="es-PE"/>
        </w:rPr>
        <w:t>MEJORAMIENTO Y AMPLIACIÒN DEL SERVICIO DE AGUA POTABLE Y SANEAMIENTO EN 14 LOCALIDADES DE LA PROVINCIA DE CUTERVO- REGIÒN CAJAMARCA</w:t>
      </w:r>
      <w:r w:rsidRPr="00085539">
        <w:rPr>
          <w:rFonts w:ascii="Calibri" w:eastAsia="Times New Roman" w:hAnsi="Calibri" w:cs="Times New Roman"/>
          <w:b/>
          <w:color w:val="000000"/>
          <w:sz w:val="14"/>
          <w:szCs w:val="14"/>
          <w:lang w:eastAsia="es-PE"/>
        </w:rPr>
        <w:t>.</w:t>
      </w:r>
    </w:p>
    <w:p w:rsidR="00551E75" w:rsidRPr="004D4E47" w:rsidRDefault="00551E75" w:rsidP="00551E75">
      <w:pPr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4D4E47">
        <w:rPr>
          <w:rFonts w:ascii="Calibri" w:eastAsia="Times New Roman" w:hAnsi="Calibri" w:cs="Times New Roman"/>
          <w:color w:val="000000"/>
          <w:lang w:eastAsia="es-PE"/>
        </w:rPr>
        <w:t>El PIP se encuentra  en evaluación  y la próxima semana se emitirá el informe de aprobación por el evaluador responsable.</w:t>
      </w:r>
    </w:p>
    <w:p w:rsidR="00551E75" w:rsidRDefault="00551E75" w:rsidP="00551E75">
      <w:pPr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 w:rsidRPr="00085539">
        <w:rPr>
          <w:rFonts w:ascii="Calibri" w:eastAsia="Times New Roman" w:hAnsi="Calibri" w:cs="Times New Roman"/>
          <w:b/>
          <w:color w:val="000000"/>
          <w:lang w:eastAsia="es-PE"/>
        </w:rPr>
        <w:t>3.2.5.- MEJORAMIENTO Y AMPLIACIÓN DEL SERVICIO DE AGUA DEL SISTEMA DE RIEGO EN LAS MICRO CUENCAS CHOCHOGUERA Y ARAQUEDA, DISTRITO CACHACHI, PROVICNIA DE CAJABAMBA, REGIÓN CAJAMARCA.</w:t>
      </w:r>
    </w:p>
    <w:p w:rsidR="00551E75" w:rsidRPr="004D4E47" w:rsidRDefault="00551E75" w:rsidP="00551E75">
      <w:pPr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4D4E47">
        <w:rPr>
          <w:rFonts w:ascii="Calibri" w:eastAsia="Times New Roman" w:hAnsi="Calibri" w:cs="Times New Roman"/>
          <w:color w:val="000000"/>
          <w:lang w:eastAsia="es-PE"/>
        </w:rPr>
        <w:t>Se encuentra en elaborac</w:t>
      </w:r>
      <w:r>
        <w:rPr>
          <w:rFonts w:ascii="Calibri" w:eastAsia="Times New Roman" w:hAnsi="Calibri" w:cs="Times New Roman"/>
          <w:color w:val="000000"/>
          <w:lang w:eastAsia="es-PE"/>
        </w:rPr>
        <w:t>ión del estudio de Factibilidad, por parte del consultor Ing. César Vásquez Peralta, supervisado por la Unidad Formuladora de la Dirección Regional de Agricultura.</w:t>
      </w:r>
    </w:p>
    <w:p w:rsidR="00551E75" w:rsidRPr="00085539" w:rsidRDefault="00551E75" w:rsidP="00551E75">
      <w:pPr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 w:rsidRPr="00085539">
        <w:rPr>
          <w:rFonts w:ascii="Calibri" w:eastAsia="Times New Roman" w:hAnsi="Calibri" w:cs="Times New Roman"/>
          <w:b/>
          <w:color w:val="000000"/>
          <w:lang w:eastAsia="es-PE"/>
        </w:rPr>
        <w:t>3.2.6.- MEJORAMIENTO DE LOS SISTEMAS DE PRODUCCIÓN AGROPECUARIA DE LOS PEQUEÑOS Y MEDIANOS PRODUCTORES, REGIÓN CAJAMARCA.</w:t>
      </w:r>
    </w:p>
    <w:p w:rsidR="00551E75" w:rsidRDefault="00551E75" w:rsidP="00551E75">
      <w:pPr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 xml:space="preserve">No existe informe de  la </w:t>
      </w:r>
      <w:proofErr w:type="gramStart"/>
      <w:r>
        <w:rPr>
          <w:rFonts w:ascii="Calibri" w:eastAsia="Times New Roman" w:hAnsi="Calibri" w:cs="Times New Roman"/>
          <w:color w:val="000000"/>
          <w:lang w:eastAsia="es-PE"/>
        </w:rPr>
        <w:t>DRAC .</w:t>
      </w:r>
      <w:proofErr w:type="gramEnd"/>
    </w:p>
    <w:p w:rsidR="00551E75" w:rsidRPr="00085539" w:rsidRDefault="00551E75" w:rsidP="00551E75">
      <w:pPr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 w:rsidRPr="00085539">
        <w:rPr>
          <w:rFonts w:ascii="Calibri" w:eastAsia="Times New Roman" w:hAnsi="Calibri" w:cs="Times New Roman"/>
          <w:b/>
          <w:color w:val="000000"/>
          <w:lang w:eastAsia="es-PE"/>
        </w:rPr>
        <w:t>3.2.7.- CONSTRUCCIÓN Y MEJORAMIENTO  DEL CAMINO VECINAL ENTRE LOS CENTROS POBLADOS DE CHALAMARCA, LA PUCARA, SUSANGATE; DISTRITOS DE CHALAMARCA – TACABAMBA – CHIMBÁN; PROVINCIA DE CHOTA – REGION CAJAMARCA.</w:t>
      </w:r>
    </w:p>
    <w:p w:rsidR="00551E75" w:rsidRDefault="00551E75" w:rsidP="00551E75">
      <w:pPr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color w:val="000000"/>
          <w:lang w:eastAsia="es-PE"/>
        </w:rPr>
        <w:t>Informe del representante de Chota, que se pasará a la siguiente fase de estudio que es de Factibilidad. Debe presentar informe</w:t>
      </w:r>
      <w:r w:rsidR="004327F1">
        <w:rPr>
          <w:rFonts w:ascii="Calibri" w:eastAsia="Times New Roman" w:hAnsi="Calibri" w:cs="Times New Roman"/>
          <w:color w:val="000000"/>
          <w:lang w:eastAsia="es-PE"/>
        </w:rPr>
        <w:t xml:space="preserve"> en un plazo de quince días a partir de la fecha</w:t>
      </w:r>
      <w:r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551E75" w:rsidRDefault="00551E75" w:rsidP="00551E75">
      <w:pPr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 w:rsidRPr="00085539">
        <w:rPr>
          <w:rFonts w:ascii="Calibri" w:eastAsia="Times New Roman" w:hAnsi="Calibri" w:cs="Times New Roman"/>
          <w:b/>
          <w:color w:val="000000"/>
          <w:lang w:eastAsia="es-PE"/>
        </w:rPr>
        <w:t>3.2.8.- RECUPERACIÓN DEL SERVICIO AMBIENTAL DE REGULACIÓN DEL SUELO EN CABECERAS DE CUENCAS DE LAS COMUNIDADES CAMPESINAS DE LOS DISTRITOS DE TOCMOCHE, MIRACOSTA Y SAN JUAN DE LICUPIS, PROVINCIA DE CHOTA, REGIÓN CAJAMARCA (A NIVEL DE FACTIBIILIDAD).</w:t>
      </w:r>
    </w:p>
    <w:p w:rsidR="00551E75" w:rsidRPr="00764FA1" w:rsidRDefault="00551E75" w:rsidP="00551E75">
      <w:pPr>
        <w:jc w:val="both"/>
        <w:rPr>
          <w:rFonts w:eastAsiaTheme="minorEastAsia" w:hAnsi="Calibri"/>
          <w:bCs/>
          <w:color w:val="000000" w:themeColor="text1"/>
          <w:kern w:val="24"/>
          <w:sz w:val="28"/>
          <w:szCs w:val="28"/>
          <w:u w:val="single"/>
          <w:lang w:eastAsia="es-PE"/>
        </w:rPr>
      </w:pPr>
      <w:r w:rsidRPr="00764FA1">
        <w:rPr>
          <w:rFonts w:ascii="Calibri" w:eastAsia="Times New Roman" w:hAnsi="Calibri" w:cs="Times New Roman"/>
          <w:color w:val="000000"/>
          <w:lang w:eastAsia="es-PE"/>
        </w:rPr>
        <w:t>- Se está culminand</w:t>
      </w:r>
      <w:r>
        <w:rPr>
          <w:rFonts w:ascii="Calibri" w:eastAsia="Times New Roman" w:hAnsi="Calibri" w:cs="Times New Roman"/>
          <w:color w:val="000000"/>
          <w:lang w:eastAsia="es-PE"/>
        </w:rPr>
        <w:t>o con el proceso de formulación por administración directa.</w:t>
      </w:r>
    </w:p>
    <w:p w:rsidR="00551E75" w:rsidRPr="00764FA1" w:rsidRDefault="00551E75" w:rsidP="00551E75">
      <w:pPr>
        <w:jc w:val="both"/>
        <w:rPr>
          <w:rFonts w:ascii="Calibri" w:hAnsi="Calibri"/>
          <w:color w:val="000000"/>
        </w:rPr>
      </w:pPr>
      <w:r w:rsidRPr="00764FA1">
        <w:rPr>
          <w:rFonts w:ascii="Calibri" w:eastAsia="Times New Roman" w:hAnsi="Calibri"/>
          <w:bCs/>
          <w:color w:val="000000"/>
          <w:u w:val="single"/>
        </w:rPr>
        <w:t>PROBLEMÁTICA:</w:t>
      </w:r>
      <w:r w:rsidRPr="00764FA1">
        <w:rPr>
          <w:rFonts w:ascii="Calibri" w:hAnsi="Calibri"/>
          <w:color w:val="000000"/>
        </w:rPr>
        <w:t xml:space="preserve"> </w:t>
      </w:r>
      <w:r w:rsidRPr="00764FA1">
        <w:rPr>
          <w:rFonts w:ascii="Calibri" w:eastAsia="Times New Roman" w:hAnsi="Calibri" w:cs="Times New Roman"/>
          <w:color w:val="000000"/>
          <w:lang w:eastAsia="es-PE"/>
        </w:rPr>
        <w:t>La Di</w:t>
      </w:r>
      <w:r>
        <w:rPr>
          <w:rFonts w:ascii="Calibri" w:eastAsia="Times New Roman" w:hAnsi="Calibri" w:cs="Times New Roman"/>
          <w:color w:val="000000"/>
          <w:lang w:eastAsia="es-PE"/>
        </w:rPr>
        <w:t>rectiva Comunal de Santiago de Cachen aú</w:t>
      </w:r>
      <w:r w:rsidRPr="00764FA1">
        <w:rPr>
          <w:rFonts w:ascii="Calibri" w:eastAsia="Times New Roman" w:hAnsi="Calibri" w:cs="Times New Roman"/>
          <w:color w:val="000000"/>
          <w:lang w:eastAsia="es-PE"/>
        </w:rPr>
        <w:t>n no ha sido renovada, razón por la cual aun NO CONTAMOS CON  EL ACTA DE OPERACIÓN MANTENIMIENTO del presente Estudio de Pre inversión.</w:t>
      </w:r>
    </w:p>
    <w:p w:rsidR="00551E75" w:rsidRDefault="00551E75" w:rsidP="00551E75">
      <w:pPr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764FA1">
        <w:rPr>
          <w:rFonts w:ascii="Calibri" w:eastAsia="Times New Roman" w:hAnsi="Calibri" w:cs="Times New Roman"/>
          <w:color w:val="000000"/>
          <w:lang w:eastAsia="es-PE"/>
        </w:rPr>
        <w:t xml:space="preserve">- En coordinación con el comité electoral de la Comunidad, las elecciones para la renovación de la junta directiva será llevada a cabo el 12 de octubre. </w:t>
      </w:r>
    </w:p>
    <w:p w:rsidR="00551E75" w:rsidRPr="00764FA1" w:rsidRDefault="00551E75" w:rsidP="00551E75">
      <w:pPr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284D6C">
        <w:rPr>
          <w:rFonts w:ascii="Calibri" w:eastAsia="Times New Roman" w:hAnsi="Calibri" w:cs="Times New Roman"/>
          <w:b/>
          <w:color w:val="000000"/>
          <w:lang w:eastAsia="es-PE"/>
        </w:rPr>
        <w:t>Acuerdo 4 del CRI 30.-</w:t>
      </w:r>
      <w:r>
        <w:rPr>
          <w:rFonts w:ascii="Calibri" w:eastAsia="Times New Roman" w:hAnsi="Calibri" w:cs="Times New Roman"/>
          <w:color w:val="000000"/>
          <w:lang w:eastAsia="es-PE"/>
        </w:rPr>
        <w:t xml:space="preserve"> que RENAMA realice una presentación el día 14-10-2014 por la mañana antes de presentar oficialmente dicho estudio a su evaluación a la OPI.</w:t>
      </w:r>
    </w:p>
    <w:p w:rsidR="00551E75" w:rsidRPr="009C7B3C" w:rsidRDefault="00551E75" w:rsidP="00551E75">
      <w:pPr>
        <w:pStyle w:val="Prrafodelista"/>
        <w:ind w:left="0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IV.- ORDEN DEL DÍA: Después del debate se llegaron a los siguientes acuerdos.</w:t>
      </w:r>
    </w:p>
    <w:p w:rsidR="00551E75" w:rsidRPr="009C7B3C" w:rsidRDefault="00551E75" w:rsidP="00551E7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1E75" w:rsidRDefault="00551E75" w:rsidP="00551E7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  <w:r w:rsidRPr="009C7B3C">
        <w:rPr>
          <w:rFonts w:asciiTheme="minorHAnsi" w:hAnsiTheme="minorHAnsi" w:cstheme="minorHAnsi"/>
          <w:b/>
          <w:sz w:val="22"/>
          <w:szCs w:val="22"/>
        </w:rPr>
        <w:t>V.-</w:t>
      </w:r>
      <w:r>
        <w:rPr>
          <w:rFonts w:asciiTheme="minorHAnsi" w:hAnsiTheme="minorHAnsi" w:cstheme="minorHAnsi"/>
          <w:b/>
          <w:sz w:val="22"/>
          <w:szCs w:val="22"/>
        </w:rPr>
        <w:t xml:space="preserve"> PEDIDOS Y </w:t>
      </w:r>
      <w:r w:rsidRPr="009C7B3C">
        <w:rPr>
          <w:rFonts w:asciiTheme="minorHAnsi" w:hAnsiTheme="minorHAnsi" w:cstheme="minorHAnsi"/>
          <w:b/>
          <w:sz w:val="22"/>
          <w:szCs w:val="22"/>
        </w:rPr>
        <w:t>ACUERDOS:</w:t>
      </w:r>
    </w:p>
    <w:p w:rsidR="00551E75" w:rsidRDefault="00551E75" w:rsidP="00551E75">
      <w:pPr>
        <w:pStyle w:val="Standard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551E75" w:rsidRDefault="00551E75" w:rsidP="00551E75">
      <w:pPr>
        <w:spacing w:after="0" w:line="240" w:lineRule="auto"/>
        <w:jc w:val="both"/>
        <w:rPr>
          <w:rFonts w:cstheme="minorHAnsi"/>
          <w:b/>
        </w:rPr>
      </w:pPr>
      <w:r w:rsidRPr="004A4043">
        <w:rPr>
          <w:rFonts w:cstheme="minorHAnsi"/>
          <w:b/>
        </w:rPr>
        <w:lastRenderedPageBreak/>
        <w:t>5.2. ACUERDOS</w:t>
      </w:r>
      <w:r>
        <w:rPr>
          <w:rFonts w:cstheme="minorHAnsi"/>
          <w:b/>
        </w:rPr>
        <w:t>: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  <w:b/>
        </w:rPr>
      </w:pPr>
      <w:r>
        <w:rPr>
          <w:rFonts w:cstheme="minorHAnsi"/>
          <w:b/>
        </w:rPr>
        <w:t xml:space="preserve">5.2.1. </w:t>
      </w:r>
      <w:r w:rsidRPr="00674F8F">
        <w:rPr>
          <w:rFonts w:cstheme="minorHAnsi"/>
          <w:b/>
        </w:rPr>
        <w:t>EJECUCIÓN PRESUPUESTAL DE INVERSIONES</w:t>
      </w:r>
      <w:r>
        <w:rPr>
          <w:rFonts w:cstheme="minorHAnsi"/>
          <w:b/>
        </w:rPr>
        <w:t>.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  <w:color w:val="632423" w:themeColor="accent2" w:themeShade="80"/>
        </w:rPr>
      </w:pPr>
      <w:r w:rsidRPr="00321B4F">
        <w:rPr>
          <w:rFonts w:cstheme="minorHAnsi"/>
          <w:b/>
        </w:rPr>
        <w:t>Acuerdo.-</w:t>
      </w:r>
      <w:r w:rsidR="00707D66" w:rsidRPr="00707D66">
        <w:rPr>
          <w:rFonts w:cstheme="minorHAnsi"/>
          <w:color w:val="632423" w:themeColor="accent2" w:themeShade="80"/>
        </w:rPr>
        <w:t xml:space="preserve"> </w:t>
      </w:r>
      <w:r w:rsidR="00707D66" w:rsidRPr="00674F8F">
        <w:rPr>
          <w:rFonts w:cstheme="minorHAnsi"/>
          <w:color w:val="632423" w:themeColor="accent2" w:themeShade="80"/>
        </w:rPr>
        <w:t>Que</w:t>
      </w:r>
      <w:r w:rsidR="00707D66">
        <w:rPr>
          <w:rFonts w:cstheme="minorHAnsi"/>
          <w:color w:val="632423" w:themeColor="accent2" w:themeShade="80"/>
        </w:rPr>
        <w:t xml:space="preserve"> las Unidades Ejecutoras cumplan con lo planteado en al presente reunión del CRI, en lo referente a la presentación de su programación de devengados por proyecto concerniente a los Recursos Ordinarios hasta el mes de diciembre del 2014, dicha información deben alcanzarla como máximo al miércoles 15 de octubre, bajo responsabilidad  a la Gerencia Regional de Planificación, presupuesto y Acondicionamiento Territorial</w:t>
      </w:r>
      <w:r>
        <w:rPr>
          <w:rFonts w:cstheme="minorHAnsi"/>
          <w:color w:val="632423" w:themeColor="accent2" w:themeShade="80"/>
        </w:rPr>
        <w:t>.</w:t>
      </w:r>
    </w:p>
    <w:p w:rsidR="00551E75" w:rsidRPr="003E3B99" w:rsidRDefault="00551E75" w:rsidP="00551E75">
      <w:pPr>
        <w:spacing w:after="0" w:line="240" w:lineRule="auto"/>
        <w:jc w:val="both"/>
        <w:rPr>
          <w:rFonts w:cstheme="minorHAnsi"/>
          <w:b/>
        </w:rPr>
      </w:pPr>
    </w:p>
    <w:p w:rsidR="00551E75" w:rsidRPr="00A071EE" w:rsidRDefault="00551E75" w:rsidP="00551E75">
      <w:pPr>
        <w:pStyle w:val="Prrafodelista"/>
        <w:ind w:left="0"/>
        <w:jc w:val="both"/>
        <w:rPr>
          <w:rFonts w:asciiTheme="minorHAnsi" w:eastAsia="Arial Unicode MS" w:hAnsiTheme="minorHAnsi" w:cstheme="minorHAnsi"/>
          <w:b/>
          <w:bCs/>
          <w:sz w:val="22"/>
          <w:szCs w:val="22"/>
        </w:rPr>
      </w:pPr>
      <w:r w:rsidRPr="003E3B99">
        <w:rPr>
          <w:rFonts w:cstheme="minorHAnsi"/>
          <w:b/>
        </w:rPr>
        <w:t xml:space="preserve">5.2.2. </w:t>
      </w:r>
      <w:r w:rsidRPr="00A071EE">
        <w:rPr>
          <w:rFonts w:asciiTheme="minorHAnsi" w:eastAsia="Arial Unicode MS" w:hAnsiTheme="minorHAnsi" w:cstheme="minorHAnsi"/>
          <w:b/>
          <w:bCs/>
          <w:sz w:val="22"/>
          <w:szCs w:val="22"/>
        </w:rPr>
        <w:t>ELECTRIFICACION RURAL PARTE MARGEN DERECHA E IZQUIERDA RIO CHINCHIPE</w:t>
      </w:r>
    </w:p>
    <w:p w:rsidR="00551E75" w:rsidRDefault="00551E75" w:rsidP="00551E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La Gerente de Jaén abogado Zulema </w:t>
      </w:r>
      <w:proofErr w:type="spellStart"/>
      <w:r>
        <w:rPr>
          <w:rFonts w:cstheme="minorHAnsi"/>
        </w:rPr>
        <w:t>Chilón</w:t>
      </w:r>
      <w:proofErr w:type="spellEnd"/>
      <w:r>
        <w:rPr>
          <w:rFonts w:cstheme="minorHAnsi"/>
        </w:rPr>
        <w:t xml:space="preserve"> Pérez ha debido de comunicar si se ha concluido a fines del mes de setiembre la transferencia  a Electro Norte. ( </w:t>
      </w:r>
      <w:proofErr w:type="gramStart"/>
      <w:r>
        <w:rPr>
          <w:rFonts w:cstheme="minorHAnsi"/>
        </w:rPr>
        <w:t>no</w:t>
      </w:r>
      <w:proofErr w:type="gramEnd"/>
      <w:r>
        <w:rPr>
          <w:rFonts w:cstheme="minorHAnsi"/>
        </w:rPr>
        <w:t xml:space="preserve"> existe informe).</w:t>
      </w:r>
    </w:p>
    <w:p w:rsidR="001733E2" w:rsidRDefault="00551E75" w:rsidP="001733E2">
      <w:pPr>
        <w:spacing w:after="0" w:line="240" w:lineRule="auto"/>
        <w:jc w:val="both"/>
        <w:rPr>
          <w:rFonts w:cstheme="minorHAnsi"/>
        </w:rPr>
      </w:pPr>
      <w:r w:rsidRPr="00C12085">
        <w:rPr>
          <w:rFonts w:cstheme="minorHAnsi"/>
          <w:b/>
        </w:rPr>
        <w:t>Acuerdo 2 CRI 30</w:t>
      </w:r>
      <w:r w:rsidR="001733E2">
        <w:rPr>
          <w:rFonts w:cstheme="minorHAnsi"/>
          <w:b/>
        </w:rPr>
        <w:t>.-</w:t>
      </w:r>
      <w:r w:rsidR="001733E2" w:rsidRPr="001733E2">
        <w:rPr>
          <w:rFonts w:cstheme="minorHAnsi"/>
        </w:rPr>
        <w:t xml:space="preserve"> </w:t>
      </w:r>
      <w:r w:rsidR="001733E2">
        <w:rPr>
          <w:rFonts w:cstheme="minorHAnsi"/>
        </w:rPr>
        <w:t xml:space="preserve">que la Gerente Sub Regional de Jaén informe a la Gerencia General Regional sobre la situación actual del PIP en forma urgente. </w:t>
      </w:r>
    </w:p>
    <w:p w:rsidR="00551E75" w:rsidRPr="001733E2" w:rsidRDefault="00551E75" w:rsidP="00551E75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 </w:t>
      </w:r>
    </w:p>
    <w:p w:rsidR="00551E75" w:rsidRPr="00C12085" w:rsidRDefault="00551E75" w:rsidP="00551E75">
      <w:pPr>
        <w:spacing w:after="0" w:line="240" w:lineRule="auto"/>
        <w:jc w:val="both"/>
        <w:rPr>
          <w:rFonts w:cstheme="minorHAnsi"/>
          <w:color w:val="632423" w:themeColor="accent2" w:themeShade="80"/>
        </w:rPr>
      </w:pPr>
      <w:r>
        <w:rPr>
          <w:rFonts w:eastAsia="Times New Roman" w:cs="Times New Roman"/>
          <w:b/>
          <w:color w:val="000000"/>
          <w:lang w:eastAsia="es-PE"/>
        </w:rPr>
        <w:t xml:space="preserve">5.2.3. </w:t>
      </w:r>
      <w:r w:rsidRPr="009621E9">
        <w:rPr>
          <w:rFonts w:ascii="Calibri" w:eastAsia="Times New Roman" w:hAnsi="Calibri" w:cs="Times New Roman"/>
          <w:b/>
          <w:color w:val="000000"/>
          <w:lang w:eastAsia="es-PE"/>
        </w:rPr>
        <w:t>CONSTRUCCION E IMPLEMENTACION DEL  HOSPITAL II-2 DE JAEN</w:t>
      </w:r>
    </w:p>
    <w:p w:rsidR="00551E75" w:rsidRPr="00321B4F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321B4F">
        <w:rPr>
          <w:rFonts w:ascii="Calibri" w:eastAsia="Times New Roman" w:hAnsi="Calibri" w:cs="Times New Roman"/>
          <w:b/>
          <w:color w:val="000000"/>
          <w:lang w:eastAsia="es-PE"/>
        </w:rPr>
        <w:t>Acuerdo.-</w:t>
      </w:r>
      <w:r w:rsidRPr="00321B4F">
        <w:rPr>
          <w:rFonts w:ascii="Calibri" w:eastAsia="Times New Roman" w:hAnsi="Calibri" w:cs="Times New Roman"/>
          <w:color w:val="000000"/>
          <w:lang w:eastAsia="es-PE"/>
        </w:rPr>
        <w:t xml:space="preserve"> El Director ejecutivo Ing. Arturo Fernández Figueroa, realice el seguimiento del arbitraje e informe de los resultados a la Gerencia General Regional</w:t>
      </w:r>
      <w:r>
        <w:rPr>
          <w:rFonts w:ascii="Calibri" w:eastAsia="Times New Roman" w:hAnsi="Calibri" w:cs="Times New Roman"/>
          <w:color w:val="000000"/>
          <w:lang w:eastAsia="es-PE"/>
        </w:rPr>
        <w:t xml:space="preserve"> en forma </w:t>
      </w:r>
      <w:r w:rsidR="0020137D">
        <w:rPr>
          <w:rFonts w:ascii="Calibri" w:eastAsia="Times New Roman" w:hAnsi="Calibri" w:cs="Times New Roman"/>
          <w:color w:val="000000"/>
          <w:lang w:eastAsia="es-PE"/>
        </w:rPr>
        <w:t>quincenal</w:t>
      </w:r>
      <w:r w:rsidRPr="00321B4F">
        <w:rPr>
          <w:rFonts w:ascii="Calibri" w:eastAsia="Times New Roman" w:hAnsi="Calibri" w:cs="Times New Roman"/>
          <w:color w:val="000000"/>
          <w:lang w:eastAsia="es-PE"/>
        </w:rPr>
        <w:t>.</w:t>
      </w:r>
    </w:p>
    <w:p w:rsidR="00551E75" w:rsidRPr="00321B4F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b/>
          <w:color w:val="000000"/>
          <w:lang w:eastAsia="es-PE"/>
        </w:rPr>
        <w:t>5.2.</w:t>
      </w:r>
      <w:r w:rsidR="000E12BC">
        <w:rPr>
          <w:rFonts w:ascii="Calibri" w:eastAsia="Times New Roman" w:hAnsi="Calibri" w:cs="Times New Roman"/>
          <w:b/>
          <w:color w:val="000000"/>
          <w:lang w:eastAsia="es-PE"/>
        </w:rPr>
        <w:t>4</w:t>
      </w:r>
      <w:r>
        <w:rPr>
          <w:rFonts w:ascii="Calibri" w:eastAsia="Times New Roman" w:hAnsi="Calibri" w:cs="Times New Roman"/>
          <w:b/>
          <w:color w:val="000000"/>
          <w:lang w:eastAsia="es-PE"/>
        </w:rPr>
        <w:t xml:space="preserve">. </w:t>
      </w:r>
      <w:r w:rsidRPr="009621E9">
        <w:rPr>
          <w:rFonts w:ascii="Calibri" w:eastAsia="Times New Roman" w:hAnsi="Calibri" w:cs="Times New Roman"/>
          <w:b/>
          <w:color w:val="000000"/>
          <w:lang w:eastAsia="es-PE"/>
        </w:rPr>
        <w:t>CONSTRUCCION E IMPLEMENTACION DEL  HOSPITAL II-1 DE CAJABAMBA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  <w:r w:rsidRPr="00321B4F">
        <w:rPr>
          <w:rFonts w:ascii="Calibri" w:eastAsia="Times New Roman" w:hAnsi="Calibri" w:cs="Times New Roman"/>
          <w:b/>
          <w:color w:val="000000"/>
          <w:lang w:eastAsia="es-PE"/>
        </w:rPr>
        <w:t>Acuerdo.-</w:t>
      </w:r>
      <w:r w:rsidRPr="00321B4F">
        <w:rPr>
          <w:rFonts w:ascii="Calibri" w:eastAsia="Times New Roman" w:hAnsi="Calibri" w:cs="Times New Roman"/>
          <w:color w:val="000000"/>
          <w:lang w:eastAsia="es-PE"/>
        </w:rPr>
        <w:t xml:space="preserve"> El Director ejecutivo Ing. Arturo Fernández Figueroa, realice el seguimiento del arbitraje e informe de los resultados a la Gerencia General Regional</w:t>
      </w:r>
      <w:r>
        <w:rPr>
          <w:rFonts w:ascii="Calibri" w:eastAsia="Times New Roman" w:hAnsi="Calibri" w:cs="Times New Roman"/>
          <w:color w:val="000000"/>
          <w:lang w:eastAsia="es-PE"/>
        </w:rPr>
        <w:t xml:space="preserve"> en forma </w:t>
      </w:r>
      <w:r w:rsidR="0020137D">
        <w:rPr>
          <w:rFonts w:ascii="Calibri" w:eastAsia="Times New Roman" w:hAnsi="Calibri" w:cs="Times New Roman"/>
          <w:color w:val="000000"/>
          <w:lang w:eastAsia="es-PE"/>
        </w:rPr>
        <w:t>quincenal</w:t>
      </w:r>
      <w:r>
        <w:rPr>
          <w:rFonts w:ascii="Calibri" w:eastAsia="Times New Roman" w:hAnsi="Calibri" w:cs="Times New Roman"/>
          <w:b/>
          <w:color w:val="000000"/>
          <w:lang w:eastAsia="es-PE"/>
        </w:rPr>
        <w:t>.</w:t>
      </w:r>
    </w:p>
    <w:p w:rsidR="00551E75" w:rsidRDefault="00551E75" w:rsidP="00551E75">
      <w:pPr>
        <w:spacing w:after="0" w:line="240" w:lineRule="auto"/>
        <w:jc w:val="both"/>
        <w:rPr>
          <w:rFonts w:ascii="Calibri" w:eastAsia="Times New Roman" w:hAnsi="Calibri" w:cs="Times New Roman"/>
          <w:b/>
          <w:color w:val="000000"/>
          <w:lang w:eastAsia="es-PE"/>
        </w:rPr>
      </w:pPr>
    </w:p>
    <w:p w:rsidR="00551E75" w:rsidRDefault="00551E75" w:rsidP="00551E75">
      <w:pPr>
        <w:jc w:val="both"/>
        <w:rPr>
          <w:rFonts w:ascii="Calibri" w:eastAsia="Times New Roman" w:hAnsi="Calibri" w:cs="Times New Roman"/>
          <w:color w:val="000000"/>
          <w:lang w:eastAsia="es-PE"/>
        </w:rPr>
      </w:pPr>
      <w:r>
        <w:rPr>
          <w:rFonts w:ascii="Calibri" w:eastAsia="Times New Roman" w:hAnsi="Calibri" w:cs="Times New Roman"/>
          <w:b/>
          <w:color w:val="000000"/>
          <w:lang w:eastAsia="es-PE"/>
        </w:rPr>
        <w:t>5.2.</w:t>
      </w:r>
      <w:r w:rsidR="000E12BC">
        <w:rPr>
          <w:rFonts w:ascii="Calibri" w:eastAsia="Times New Roman" w:hAnsi="Calibri" w:cs="Times New Roman"/>
          <w:b/>
          <w:color w:val="000000"/>
          <w:lang w:eastAsia="es-PE"/>
        </w:rPr>
        <w:t>5</w:t>
      </w:r>
      <w:bookmarkStart w:id="0" w:name="_GoBack"/>
      <w:bookmarkEnd w:id="0"/>
      <w:r>
        <w:rPr>
          <w:rFonts w:ascii="Calibri" w:eastAsia="Times New Roman" w:hAnsi="Calibri" w:cs="Times New Roman"/>
          <w:b/>
          <w:color w:val="000000"/>
          <w:lang w:eastAsia="es-PE"/>
        </w:rPr>
        <w:t xml:space="preserve"> </w:t>
      </w:r>
      <w:r w:rsidRPr="00284D6C">
        <w:rPr>
          <w:rFonts w:ascii="Calibri" w:eastAsia="Times New Roman" w:hAnsi="Calibri" w:cs="Times New Roman"/>
          <w:b/>
          <w:color w:val="000000"/>
          <w:lang w:eastAsia="es-PE"/>
        </w:rPr>
        <w:t>.-</w:t>
      </w:r>
      <w:r>
        <w:rPr>
          <w:rFonts w:ascii="Calibri" w:eastAsia="Times New Roman" w:hAnsi="Calibri" w:cs="Times New Roman"/>
          <w:b/>
          <w:color w:val="000000"/>
          <w:lang w:eastAsia="es-PE"/>
        </w:rPr>
        <w:t xml:space="preserve"> </w:t>
      </w:r>
      <w:r w:rsidRPr="00085539">
        <w:rPr>
          <w:rFonts w:ascii="Calibri" w:eastAsia="Times New Roman" w:hAnsi="Calibri" w:cs="Times New Roman"/>
          <w:b/>
          <w:color w:val="000000"/>
          <w:lang w:eastAsia="es-PE"/>
        </w:rPr>
        <w:t>RECUPERACIÓN DEL SERVICIO AMBIENTAL DE REGULACIÓN DEL SUELO EN CABECERAS DE CUENCAS DE LAS COMUNIDADES CAMPESINAS DE LOS DISTRITOS DE TOCMOCHE, MIRACOSTA Y SAN JUAN DE LICUPIS, PROVINCIA DE CHOTA, REGIÓN CAJAMARCA (A NIVEL DE FACTIBIILIDAD).</w:t>
      </w:r>
      <w:r>
        <w:rPr>
          <w:rFonts w:ascii="Calibri" w:eastAsia="Times New Roman" w:hAnsi="Calibri" w:cs="Times New Roman"/>
          <w:color w:val="000000"/>
          <w:lang w:eastAsia="es-PE"/>
        </w:rPr>
        <w:t xml:space="preserve"> </w:t>
      </w:r>
    </w:p>
    <w:p w:rsidR="00551E75" w:rsidRPr="0010039F" w:rsidRDefault="00551E75" w:rsidP="00551E75">
      <w:pPr>
        <w:jc w:val="both"/>
        <w:rPr>
          <w:rFonts w:ascii="Calibri" w:eastAsia="Times New Roman" w:hAnsi="Calibri" w:cs="Times New Roman"/>
          <w:color w:val="000000"/>
          <w:lang w:eastAsia="es-PE"/>
        </w:rPr>
      </w:pPr>
      <w:r w:rsidRPr="00AF6D20">
        <w:rPr>
          <w:rFonts w:ascii="Calibri" w:eastAsia="Times New Roman" w:hAnsi="Calibri" w:cs="Times New Roman"/>
          <w:b/>
          <w:color w:val="000000"/>
          <w:lang w:eastAsia="es-PE"/>
        </w:rPr>
        <w:t>Acuerdo.-</w:t>
      </w:r>
      <w:r>
        <w:rPr>
          <w:rFonts w:ascii="Calibri" w:eastAsia="Times New Roman" w:hAnsi="Calibri" w:cs="Times New Roman"/>
          <w:color w:val="000000"/>
          <w:lang w:eastAsia="es-PE"/>
        </w:rPr>
        <w:t>que RENAMA realice una presentación el día 14-10-2014 por la mañana ante la OPI a fin de verificar si el estudio contempla los contenidos mínimos que norma la Directiva SNIP 05 del MEF y las normas del MINAM, antes de presentar oficialmente dicho estudio para su evaluación.</w:t>
      </w: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Siendo las </w:t>
      </w:r>
      <w:r>
        <w:rPr>
          <w:rFonts w:asciiTheme="minorHAnsi" w:hAnsiTheme="minorHAnsi" w:cstheme="minorHAnsi"/>
          <w:sz w:val="22"/>
          <w:szCs w:val="22"/>
        </w:rPr>
        <w:t xml:space="preserve">12:00 </w:t>
      </w:r>
      <w:r w:rsidRPr="009C7B3C">
        <w:rPr>
          <w:rFonts w:asciiTheme="minorHAnsi" w:hAnsiTheme="minorHAnsi" w:cstheme="minorHAnsi"/>
          <w:sz w:val="22"/>
          <w:szCs w:val="22"/>
        </w:rPr>
        <w:t xml:space="preserve">horas, del </w:t>
      </w:r>
      <w:r>
        <w:rPr>
          <w:rFonts w:asciiTheme="minorHAnsi" w:hAnsiTheme="minorHAnsi" w:cstheme="minorHAnsi"/>
          <w:sz w:val="22"/>
          <w:szCs w:val="22"/>
        </w:rPr>
        <w:t>10</w:t>
      </w:r>
      <w:r w:rsidRPr="009C7B3C">
        <w:rPr>
          <w:rFonts w:asciiTheme="minorHAnsi" w:hAnsiTheme="minorHAnsi" w:cstheme="minorHAnsi"/>
          <w:sz w:val="22"/>
          <w:szCs w:val="22"/>
        </w:rPr>
        <w:t xml:space="preserve"> de</w:t>
      </w:r>
      <w:r>
        <w:rPr>
          <w:rFonts w:asciiTheme="minorHAnsi" w:hAnsiTheme="minorHAnsi" w:cstheme="minorHAnsi"/>
          <w:sz w:val="22"/>
          <w:szCs w:val="22"/>
        </w:rPr>
        <w:t xml:space="preserve"> octubre</w:t>
      </w:r>
      <w:r w:rsidRPr="009C7B3C">
        <w:rPr>
          <w:rFonts w:asciiTheme="minorHAnsi" w:hAnsiTheme="minorHAnsi" w:cstheme="minorHAnsi"/>
          <w:sz w:val="22"/>
          <w:szCs w:val="22"/>
        </w:rPr>
        <w:t xml:space="preserve"> del 201</w:t>
      </w:r>
      <w:r>
        <w:rPr>
          <w:rFonts w:asciiTheme="minorHAnsi" w:hAnsiTheme="minorHAnsi" w:cstheme="minorHAnsi"/>
          <w:sz w:val="22"/>
          <w:szCs w:val="22"/>
        </w:rPr>
        <w:t>4</w:t>
      </w:r>
      <w:r w:rsidRPr="009C7B3C">
        <w:rPr>
          <w:rFonts w:asciiTheme="minorHAnsi" w:hAnsiTheme="minorHAnsi" w:cstheme="minorHAnsi"/>
          <w:sz w:val="22"/>
          <w:szCs w:val="22"/>
        </w:rPr>
        <w:t>, se dio por concluida la presente sesión, acordando que la próxima sesión ordinaria de Comité Regional se reali</w:t>
      </w:r>
      <w:r>
        <w:rPr>
          <w:rFonts w:asciiTheme="minorHAnsi" w:hAnsiTheme="minorHAnsi" w:cstheme="minorHAnsi"/>
          <w:sz w:val="22"/>
          <w:szCs w:val="22"/>
        </w:rPr>
        <w:t>ce</w:t>
      </w:r>
      <w:r w:rsidRPr="009C7B3C">
        <w:rPr>
          <w:rFonts w:asciiTheme="minorHAnsi" w:hAnsiTheme="minorHAnsi" w:cstheme="minorHAnsi"/>
          <w:sz w:val="22"/>
          <w:szCs w:val="22"/>
        </w:rPr>
        <w:t xml:space="preserve"> en la ciudad de Cajamarca el </w:t>
      </w:r>
      <w:r>
        <w:rPr>
          <w:rFonts w:asciiTheme="minorHAnsi" w:hAnsiTheme="minorHAnsi" w:cstheme="minorHAnsi"/>
          <w:sz w:val="22"/>
          <w:szCs w:val="22"/>
        </w:rPr>
        <w:t>14</w:t>
      </w:r>
      <w:r w:rsidRPr="009C7B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B3C">
        <w:rPr>
          <w:rFonts w:asciiTheme="minorHAnsi" w:hAnsiTheme="minorHAnsi" w:cstheme="minorHAnsi"/>
          <w:color w:val="000000"/>
          <w:sz w:val="22"/>
          <w:szCs w:val="22"/>
        </w:rPr>
        <w:t xml:space="preserve">de </w:t>
      </w:r>
      <w:r>
        <w:rPr>
          <w:rFonts w:asciiTheme="minorHAnsi" w:hAnsiTheme="minorHAnsi" w:cstheme="minorHAnsi"/>
          <w:color w:val="000000"/>
          <w:sz w:val="22"/>
          <w:szCs w:val="22"/>
        </w:rPr>
        <w:t>noviembre</w:t>
      </w:r>
      <w:r w:rsidRPr="009C7B3C">
        <w:rPr>
          <w:rFonts w:asciiTheme="minorHAnsi" w:hAnsiTheme="minorHAnsi" w:cstheme="minorHAnsi"/>
          <w:color w:val="000000"/>
          <w:sz w:val="22"/>
          <w:szCs w:val="22"/>
        </w:rPr>
        <w:t xml:space="preserve"> del 2014</w:t>
      </w:r>
      <w:r w:rsidRPr="009C7B3C">
        <w:rPr>
          <w:rFonts w:asciiTheme="minorHAnsi" w:hAnsiTheme="minorHAnsi" w:cstheme="minorHAnsi"/>
          <w:color w:val="FF0000"/>
          <w:sz w:val="22"/>
          <w:szCs w:val="22"/>
        </w:rPr>
        <w:t xml:space="preserve"> </w:t>
      </w:r>
      <w:r w:rsidRPr="009C7B3C">
        <w:rPr>
          <w:rFonts w:asciiTheme="minorHAnsi" w:hAnsiTheme="minorHAnsi" w:cstheme="minorHAnsi"/>
          <w:sz w:val="22"/>
          <w:szCs w:val="22"/>
        </w:rPr>
        <w:t>a las 09:30 horas en las Instalaciones del Gobierno Regional  Cajamarca.</w:t>
      </w: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Pr="00AF6D20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spacing w:after="0" w:line="240" w:lineRule="auto"/>
        <w:rPr>
          <w:rFonts w:cstheme="minorHAnsi"/>
        </w:rPr>
      </w:pPr>
      <w:r>
        <w:rPr>
          <w:rFonts w:cstheme="minorHAnsi"/>
        </w:rPr>
        <w:t>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551E75" w:rsidRDefault="00551E75" w:rsidP="00551E75">
      <w:pPr>
        <w:spacing w:after="0" w:line="240" w:lineRule="auto"/>
        <w:rPr>
          <w:rFonts w:cstheme="minorHAnsi"/>
        </w:rPr>
      </w:pPr>
      <w:r>
        <w:rPr>
          <w:rFonts w:cstheme="minorHAnsi"/>
        </w:rPr>
        <w:t xml:space="preserve">María Esther Estrada de Silva 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William Villalobos Hoyos</w:t>
      </w:r>
    </w:p>
    <w:p w:rsidR="00551E75" w:rsidRPr="009C7B3C" w:rsidRDefault="00551E75" w:rsidP="00551E75">
      <w:pPr>
        <w:spacing w:after="0" w:line="240" w:lineRule="auto"/>
        <w:ind w:left="708"/>
        <w:rPr>
          <w:rFonts w:cstheme="minorHAnsi"/>
        </w:rPr>
      </w:pPr>
      <w:r>
        <w:rPr>
          <w:rFonts w:cstheme="minorHAnsi"/>
        </w:rPr>
        <w:t>Presidente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Miembro</w:t>
      </w:r>
    </w:p>
    <w:p w:rsidR="00551E75" w:rsidRPr="009C7B3C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</w:r>
    </w:p>
    <w:p w:rsidR="00551E75" w:rsidRPr="009C7B3C" w:rsidRDefault="00551E75" w:rsidP="00551E75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Pr="009C7B3C" w:rsidRDefault="00551E75" w:rsidP="00551E75">
      <w:pPr>
        <w:pStyle w:val="Standard"/>
        <w:tabs>
          <w:tab w:val="left" w:pos="708"/>
        </w:tabs>
        <w:spacing w:after="28"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________________________</w:t>
      </w:r>
      <w:r>
        <w:rPr>
          <w:rFonts w:asciiTheme="minorHAnsi" w:hAnsiTheme="minorHAnsi" w:cstheme="minorHAnsi"/>
          <w:sz w:val="22"/>
          <w:szCs w:val="22"/>
        </w:rPr>
        <w:t>_____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>_________________________</w:t>
      </w:r>
      <w:r>
        <w:rPr>
          <w:rFonts w:asciiTheme="minorHAnsi" w:hAnsiTheme="minorHAnsi" w:cstheme="minorHAnsi"/>
          <w:sz w:val="22"/>
          <w:szCs w:val="22"/>
        </w:rPr>
        <w:t>_______</w:t>
      </w:r>
    </w:p>
    <w:p w:rsidR="00551E75" w:rsidRPr="009C7B3C" w:rsidRDefault="00551E75" w:rsidP="00551E75">
      <w:pPr>
        <w:pStyle w:val="Standard"/>
        <w:tabs>
          <w:tab w:val="left" w:pos="708"/>
          <w:tab w:val="left" w:pos="6435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Wilmer </w:t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Chuquilín</w:t>
      </w:r>
      <w:proofErr w:type="spellEnd"/>
      <w:r w:rsidRPr="009C7B3C">
        <w:rPr>
          <w:rFonts w:asciiTheme="minorHAnsi" w:hAnsiTheme="minorHAnsi" w:cstheme="minorHAnsi"/>
          <w:sz w:val="22"/>
          <w:szCs w:val="22"/>
        </w:rPr>
        <w:t xml:space="preserve"> Madera</w:t>
      </w:r>
      <w:r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</w:t>
      </w:r>
      <w:r w:rsidRPr="009C7B3C">
        <w:rPr>
          <w:rFonts w:asciiTheme="minorHAnsi" w:hAnsiTheme="minorHAnsi" w:cstheme="minorHAnsi"/>
          <w:sz w:val="22"/>
          <w:szCs w:val="22"/>
        </w:rPr>
        <w:t xml:space="preserve">Luis Alberto Vallejo Portal    </w:t>
      </w:r>
      <w:r>
        <w:rPr>
          <w:rFonts w:asciiTheme="minorHAnsi" w:hAnsiTheme="minorHAnsi" w:cstheme="minorHAnsi"/>
          <w:sz w:val="22"/>
          <w:szCs w:val="22"/>
        </w:rPr>
        <w:tab/>
      </w:r>
    </w:p>
    <w:p w:rsidR="00551E75" w:rsidRPr="009C7B3C" w:rsidRDefault="00551E75" w:rsidP="00551E75">
      <w:pPr>
        <w:pStyle w:val="Standard"/>
        <w:tabs>
          <w:tab w:val="left" w:pos="708"/>
        </w:tabs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       Secretario Técnico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Miembro</w:t>
      </w: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Pr="009C7B3C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Pr="009C7B3C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>_____________________________</w:t>
      </w:r>
      <w:r w:rsidRPr="009C7B3C"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ab/>
        <w:t xml:space="preserve">           </w:t>
      </w:r>
      <w:r>
        <w:rPr>
          <w:rFonts w:asciiTheme="minorHAnsi" w:hAnsiTheme="minorHAnsi" w:cstheme="minorHAnsi"/>
          <w:sz w:val="22"/>
          <w:szCs w:val="22"/>
        </w:rPr>
        <w:tab/>
      </w:r>
      <w:r w:rsidRPr="009C7B3C">
        <w:rPr>
          <w:rFonts w:asciiTheme="minorHAnsi" w:hAnsiTheme="minorHAnsi" w:cstheme="minorHAnsi"/>
          <w:sz w:val="22"/>
          <w:szCs w:val="22"/>
        </w:rPr>
        <w:t>__________________________</w:t>
      </w:r>
      <w:r>
        <w:rPr>
          <w:rFonts w:asciiTheme="minorHAnsi" w:hAnsiTheme="minorHAnsi" w:cstheme="minorHAnsi"/>
          <w:sz w:val="22"/>
          <w:szCs w:val="22"/>
        </w:rPr>
        <w:t>______</w:t>
      </w:r>
    </w:p>
    <w:p w:rsidR="00551E75" w:rsidRDefault="00551E75" w:rsidP="00551E75">
      <w:pPr>
        <w:pStyle w:val="Standard"/>
        <w:spacing w:line="288" w:lineRule="auto"/>
        <w:ind w:left="708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Glen Serrano Medina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 xml:space="preserve">César Sánchez </w:t>
      </w:r>
      <w:proofErr w:type="spellStart"/>
      <w:r>
        <w:rPr>
          <w:rFonts w:asciiTheme="minorHAnsi" w:hAnsiTheme="minorHAnsi" w:cstheme="minorHAnsi"/>
          <w:sz w:val="22"/>
          <w:szCs w:val="22"/>
        </w:rPr>
        <w:t>Zumarán</w:t>
      </w:r>
      <w:proofErr w:type="spellEnd"/>
    </w:p>
    <w:p w:rsidR="00551E75" w:rsidRPr="009C7B3C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  <w:t>Miembro</w:t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r>
        <w:rPr>
          <w:rFonts w:asciiTheme="minorHAnsi" w:hAnsiTheme="minorHAnsi" w:cstheme="minorHAnsi"/>
          <w:sz w:val="22"/>
          <w:szCs w:val="22"/>
        </w:rPr>
        <w:tab/>
      </w:r>
      <w:proofErr w:type="spellStart"/>
      <w:r w:rsidRPr="009C7B3C">
        <w:rPr>
          <w:rFonts w:asciiTheme="minorHAnsi" w:hAnsiTheme="minorHAnsi" w:cstheme="minorHAnsi"/>
          <w:sz w:val="22"/>
          <w:szCs w:val="22"/>
        </w:rPr>
        <w:t>Miembro</w:t>
      </w:r>
      <w:proofErr w:type="spellEnd"/>
    </w:p>
    <w:p w:rsidR="00551E75" w:rsidRPr="009C7B3C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                   </w:t>
      </w: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9C7B3C">
        <w:rPr>
          <w:rFonts w:asciiTheme="minorHAnsi" w:hAnsiTheme="minorHAnsi" w:cstheme="minorHAnsi"/>
          <w:sz w:val="22"/>
          <w:szCs w:val="22"/>
        </w:rPr>
        <w:t xml:space="preserve">                            </w:t>
      </w:r>
    </w:p>
    <w:p w:rsidR="00551E75" w:rsidRDefault="00551E75" w:rsidP="00551E75">
      <w:pPr>
        <w:pStyle w:val="Standard"/>
        <w:spacing w:line="288" w:lineRule="auto"/>
        <w:jc w:val="both"/>
        <w:rPr>
          <w:rFonts w:asciiTheme="minorHAnsi" w:hAnsiTheme="minorHAnsi" w:cstheme="minorHAnsi"/>
          <w:sz w:val="22"/>
          <w:szCs w:val="22"/>
        </w:rPr>
      </w:pPr>
    </w:p>
    <w:p w:rsidR="00551E75" w:rsidRDefault="00551E75" w:rsidP="00551E75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>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551E75" w:rsidRDefault="00551E75" w:rsidP="00551E75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>Anaximandro Fernández Figueroa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Estela Jara Cerna</w:t>
      </w:r>
    </w:p>
    <w:p w:rsidR="00551E75" w:rsidRDefault="00551E75" w:rsidP="00551E75">
      <w:pPr>
        <w:spacing w:after="0"/>
        <w:ind w:left="708" w:hanging="588"/>
        <w:rPr>
          <w:rFonts w:cstheme="minorHAnsi"/>
        </w:rPr>
      </w:pPr>
      <w:r>
        <w:rPr>
          <w:rFonts w:cstheme="minorHAnsi"/>
        </w:rPr>
        <w:tab/>
        <w:t>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551E75" w:rsidRDefault="00551E75" w:rsidP="00551E75">
      <w:pPr>
        <w:spacing w:after="0"/>
        <w:ind w:left="708" w:hanging="588"/>
        <w:rPr>
          <w:rFonts w:cstheme="minorHAnsi"/>
        </w:rPr>
      </w:pPr>
    </w:p>
    <w:p w:rsidR="00551E75" w:rsidRDefault="00551E75" w:rsidP="00551E75">
      <w:pPr>
        <w:spacing w:after="0"/>
        <w:ind w:left="708" w:hanging="588"/>
        <w:rPr>
          <w:rFonts w:cstheme="minorHAnsi"/>
        </w:rPr>
      </w:pPr>
    </w:p>
    <w:p w:rsidR="00551E75" w:rsidRDefault="00551E75" w:rsidP="00551E75">
      <w:pPr>
        <w:spacing w:after="0"/>
        <w:ind w:left="708" w:hanging="588"/>
        <w:rPr>
          <w:rFonts w:cstheme="minorHAnsi"/>
        </w:rPr>
      </w:pPr>
    </w:p>
    <w:p w:rsidR="00551E75" w:rsidRDefault="00551E75" w:rsidP="00551E75">
      <w:pPr>
        <w:spacing w:after="0"/>
        <w:ind w:left="708" w:hanging="588"/>
        <w:rPr>
          <w:rFonts w:cstheme="minorHAnsi"/>
        </w:rPr>
      </w:pPr>
    </w:p>
    <w:p w:rsidR="00551E75" w:rsidRDefault="00551E75" w:rsidP="00551E75">
      <w:pPr>
        <w:spacing w:after="0"/>
        <w:ind w:left="708" w:hanging="588"/>
        <w:rPr>
          <w:rFonts w:cstheme="minorHAnsi"/>
        </w:rPr>
      </w:pPr>
    </w:p>
    <w:p w:rsidR="00551E75" w:rsidRDefault="00551E75" w:rsidP="00551E75">
      <w:pPr>
        <w:spacing w:after="0"/>
        <w:rPr>
          <w:rFonts w:cstheme="minorHAnsi"/>
        </w:rPr>
      </w:pPr>
      <w:r>
        <w:rPr>
          <w:rFonts w:cstheme="minorHAnsi"/>
        </w:rPr>
        <w:t>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551E75" w:rsidRDefault="00551E75" w:rsidP="00551E75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Walter Benavides Gavidia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Jorge Manuel León Cubas</w:t>
      </w:r>
    </w:p>
    <w:p w:rsidR="00551E75" w:rsidRDefault="00551E75" w:rsidP="00551E75">
      <w:pPr>
        <w:spacing w:after="0"/>
        <w:rPr>
          <w:rFonts w:cstheme="minorHAnsi"/>
        </w:rPr>
      </w:pPr>
      <w:r>
        <w:rPr>
          <w:rFonts w:cstheme="minorHAnsi"/>
        </w:rPr>
        <w:t xml:space="preserve">              </w:t>
      </w:r>
      <w:r>
        <w:rPr>
          <w:rFonts w:cstheme="minorHAnsi"/>
        </w:rPr>
        <w:tab/>
        <w:t xml:space="preserve">  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551E75" w:rsidRDefault="00551E75" w:rsidP="00551E75">
      <w:pPr>
        <w:spacing w:after="0"/>
        <w:rPr>
          <w:rFonts w:cstheme="minorHAnsi"/>
        </w:rPr>
      </w:pPr>
    </w:p>
    <w:p w:rsidR="00551E75" w:rsidRDefault="00551E75" w:rsidP="00551E75">
      <w:pPr>
        <w:spacing w:after="0"/>
        <w:rPr>
          <w:rFonts w:cstheme="minorHAnsi"/>
        </w:rPr>
      </w:pPr>
    </w:p>
    <w:p w:rsidR="00551E75" w:rsidRDefault="00551E75" w:rsidP="00551E75">
      <w:pPr>
        <w:spacing w:after="0"/>
        <w:rPr>
          <w:rFonts w:cstheme="minorHAnsi"/>
        </w:rPr>
      </w:pPr>
    </w:p>
    <w:p w:rsidR="00551E75" w:rsidRDefault="00551E75" w:rsidP="00551E75">
      <w:pPr>
        <w:spacing w:after="0"/>
        <w:rPr>
          <w:rFonts w:cstheme="minorHAnsi"/>
        </w:rPr>
      </w:pPr>
    </w:p>
    <w:p w:rsidR="00551E75" w:rsidRDefault="00551E75" w:rsidP="00551E75">
      <w:pPr>
        <w:spacing w:after="0"/>
        <w:rPr>
          <w:rFonts w:cstheme="minorHAnsi"/>
        </w:rPr>
      </w:pPr>
    </w:p>
    <w:p w:rsidR="00551E75" w:rsidRDefault="00551E75" w:rsidP="00551E75">
      <w:pPr>
        <w:spacing w:after="0"/>
        <w:rPr>
          <w:rFonts w:cstheme="minorHAnsi"/>
        </w:rPr>
      </w:pPr>
      <w:r>
        <w:rPr>
          <w:rFonts w:cstheme="minorHAnsi"/>
        </w:rPr>
        <w:t>____________________________________</w:t>
      </w:r>
      <w:r>
        <w:rPr>
          <w:rFonts w:cstheme="minorHAnsi"/>
        </w:rPr>
        <w:tab/>
      </w:r>
      <w:r>
        <w:rPr>
          <w:rFonts w:cstheme="minorHAnsi"/>
        </w:rPr>
        <w:tab/>
        <w:t>___________________________________</w:t>
      </w:r>
    </w:p>
    <w:p w:rsidR="00551E75" w:rsidRDefault="00551E75" w:rsidP="00551E75">
      <w:pPr>
        <w:spacing w:after="0"/>
        <w:ind w:firstLine="708"/>
        <w:rPr>
          <w:rFonts w:cstheme="minorHAnsi"/>
        </w:rPr>
      </w:pPr>
      <w:r>
        <w:rPr>
          <w:rFonts w:cstheme="minorHAnsi"/>
        </w:rPr>
        <w:t>Jimmy Álvarez Cortez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  <w:t>Daniel Germán Vargas Quispe</w:t>
      </w:r>
    </w:p>
    <w:p w:rsidR="00551E75" w:rsidRDefault="00551E75" w:rsidP="00551E75">
      <w:pPr>
        <w:spacing w:after="0"/>
        <w:rPr>
          <w:rFonts w:cstheme="minorHAnsi"/>
        </w:rPr>
      </w:pPr>
      <w:r>
        <w:rPr>
          <w:rFonts w:cstheme="minorHAnsi"/>
        </w:rPr>
        <w:tab/>
      </w:r>
      <w:r>
        <w:rPr>
          <w:rFonts w:cstheme="minorHAnsi"/>
        </w:rPr>
        <w:tab/>
        <w:t>Miembro</w:t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r>
        <w:rPr>
          <w:rFonts w:cstheme="minorHAnsi"/>
        </w:rPr>
        <w:tab/>
      </w:r>
      <w:proofErr w:type="spellStart"/>
      <w:r>
        <w:rPr>
          <w:rFonts w:cstheme="minorHAnsi"/>
        </w:rPr>
        <w:t>Miembro</w:t>
      </w:r>
      <w:proofErr w:type="spellEnd"/>
    </w:p>
    <w:p w:rsidR="00551E75" w:rsidRPr="009C7B3C" w:rsidRDefault="00551E75" w:rsidP="00551E75">
      <w:pPr>
        <w:rPr>
          <w:rFonts w:cstheme="minorHAnsi"/>
        </w:rPr>
      </w:pPr>
    </w:p>
    <w:p w:rsidR="00551E75" w:rsidRDefault="00551E75" w:rsidP="00551E75"/>
    <w:p w:rsidR="00551E75" w:rsidRDefault="00551E75" w:rsidP="00551E75"/>
    <w:p w:rsidR="00551E75" w:rsidRDefault="00551E75" w:rsidP="00551E75">
      <w:pPr>
        <w:spacing w:after="0"/>
      </w:pPr>
      <w:r>
        <w:t>____________________________________</w:t>
      </w:r>
      <w:r>
        <w:tab/>
      </w:r>
      <w:r>
        <w:tab/>
        <w:t>___________________________________</w:t>
      </w:r>
      <w:r>
        <w:tab/>
        <w:t>Luis a. Ramírez León</w:t>
      </w:r>
      <w:r>
        <w:tab/>
      </w:r>
      <w:r>
        <w:tab/>
      </w:r>
      <w:r>
        <w:tab/>
      </w:r>
      <w:r>
        <w:tab/>
      </w:r>
      <w:r>
        <w:tab/>
        <w:t>Hildebrando Ojeda Rojas</w:t>
      </w:r>
      <w:r>
        <w:tab/>
      </w:r>
      <w:r>
        <w:tab/>
      </w:r>
      <w:r>
        <w:tab/>
        <w:t>Miembro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proofErr w:type="spellStart"/>
      <w:r>
        <w:t>Miembro</w:t>
      </w:r>
      <w:proofErr w:type="spellEnd"/>
      <w:r>
        <w:tab/>
      </w:r>
    </w:p>
    <w:p w:rsidR="00551E75" w:rsidRDefault="00551E75" w:rsidP="00551E75">
      <w:pPr>
        <w:spacing w:after="0"/>
      </w:pPr>
    </w:p>
    <w:p w:rsidR="00551E75" w:rsidRDefault="00551E75" w:rsidP="00551E75">
      <w:pPr>
        <w:spacing w:after="0"/>
      </w:pPr>
    </w:p>
    <w:p w:rsidR="00551E75" w:rsidRDefault="00551E75" w:rsidP="00551E75">
      <w:pPr>
        <w:spacing w:after="0"/>
      </w:pPr>
    </w:p>
    <w:p w:rsidR="00551E75" w:rsidRDefault="00551E75" w:rsidP="00551E75">
      <w:pPr>
        <w:spacing w:after="0"/>
      </w:pPr>
    </w:p>
    <w:p w:rsidR="00551E75" w:rsidRDefault="00551E75" w:rsidP="00551E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E75" w:rsidRDefault="00551E75" w:rsidP="00551E75">
      <w:pPr>
        <w:spacing w:after="0"/>
      </w:pP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551E75" w:rsidRDefault="00551E75" w:rsidP="00551E75"/>
    <w:p w:rsidR="00551E75" w:rsidRDefault="00551E75" w:rsidP="00551E75"/>
    <w:p w:rsidR="00D64E6F" w:rsidRDefault="00D64E6F"/>
    <w:sectPr w:rsidR="00D64E6F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+mn-ea">
    <w:charset w:val="00"/>
    <w:family w:val="auto"/>
    <w:pitch w:val="variable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1E75"/>
    <w:rsid w:val="000E12BC"/>
    <w:rsid w:val="001733E2"/>
    <w:rsid w:val="001D1DDD"/>
    <w:rsid w:val="0020137D"/>
    <w:rsid w:val="00206BB2"/>
    <w:rsid w:val="003F1CD7"/>
    <w:rsid w:val="004327F1"/>
    <w:rsid w:val="00551E75"/>
    <w:rsid w:val="00707D66"/>
    <w:rsid w:val="00D64E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51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uiPriority w:val="34"/>
    <w:qFormat/>
    <w:rsid w:val="00551E75"/>
    <w:pPr>
      <w:spacing w:line="100" w:lineRule="atLeast"/>
      <w:ind w:left="720"/>
    </w:pPr>
    <w:rPr>
      <w:rFonts w:eastAsia="Times New Roman" w:cs="Times New Roman"/>
      <w:lang w:eastAsia="es-PE"/>
    </w:rPr>
  </w:style>
  <w:style w:type="table" w:styleId="Tablaconcuadrcula">
    <w:name w:val="Table Grid"/>
    <w:basedOn w:val="Tablanormal"/>
    <w:uiPriority w:val="59"/>
    <w:rsid w:val="0055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E7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E7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Standard">
    <w:name w:val="Standard"/>
    <w:rsid w:val="00551E75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Prrafodelista">
    <w:name w:val="List Paragraph"/>
    <w:basedOn w:val="Standard"/>
    <w:uiPriority w:val="34"/>
    <w:qFormat/>
    <w:rsid w:val="00551E75"/>
    <w:pPr>
      <w:spacing w:line="100" w:lineRule="atLeast"/>
      <w:ind w:left="720"/>
    </w:pPr>
    <w:rPr>
      <w:rFonts w:eastAsia="Times New Roman" w:cs="Times New Roman"/>
      <w:lang w:eastAsia="es-PE"/>
    </w:rPr>
  </w:style>
  <w:style w:type="table" w:styleId="Tablaconcuadrcula">
    <w:name w:val="Table Grid"/>
    <w:basedOn w:val="Tablanormal"/>
    <w:uiPriority w:val="59"/>
    <w:rsid w:val="00551E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globo">
    <w:name w:val="Balloon Text"/>
    <w:basedOn w:val="Normal"/>
    <w:link w:val="TextodegloboCar"/>
    <w:uiPriority w:val="99"/>
    <w:semiHidden/>
    <w:unhideWhenUsed/>
    <w:rsid w:val="00551E7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51E7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9</Pages>
  <Words>2518</Words>
  <Characters>13853</Characters>
  <Application>Microsoft Office Word</Application>
  <DocSecurity>0</DocSecurity>
  <Lines>115</Lines>
  <Paragraphs>32</Paragraphs>
  <ScaleCrop>false</ScaleCrop>
  <Company/>
  <LinksUpToDate>false</LinksUpToDate>
  <CharactersWithSpaces>16339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E. Caceres Machicao</dc:creator>
  <cp:lastModifiedBy>Mario E. Caceres Machicao</cp:lastModifiedBy>
  <cp:revision>9</cp:revision>
  <dcterms:created xsi:type="dcterms:W3CDTF">2014-10-14T16:59:00Z</dcterms:created>
  <dcterms:modified xsi:type="dcterms:W3CDTF">2014-11-17T14:07:00Z</dcterms:modified>
</cp:coreProperties>
</file>